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AA8E119">
      <w:pPr>
        <w:keepNext w:val="0"/>
        <w:keepLines w:val="0"/>
        <w:pageBreakBefore w:val="0"/>
        <w:widowControl w:val="0"/>
        <w:kinsoku/>
        <w:wordWrap/>
        <w:overflowPunct/>
        <w:topLinePunct w:val="0"/>
        <w:autoSpaceDE/>
        <w:autoSpaceDN/>
        <w:bidi w:val="0"/>
        <w:adjustRightInd/>
        <w:snapToGrid/>
        <w:jc w:val="center"/>
        <w:textAlignment w:val="auto"/>
        <w:outlineLvl w:val="0"/>
        <w:rPr>
          <w:rFonts w:ascii="宋体" w:hAnsi="宋体" w:cs="宋体"/>
          <w:b/>
          <w:bCs/>
          <w:color w:val="000000"/>
          <w:sz w:val="28"/>
          <w:szCs w:val="36"/>
        </w:rPr>
      </w:pPr>
      <w:bookmarkStart w:id="0" w:name="_Toc31880"/>
      <w:bookmarkStart w:id="1" w:name="_Toc1498"/>
      <w:bookmarkStart w:id="2" w:name="_Toc18076"/>
      <w:r>
        <w:rPr>
          <w:rFonts w:hint="eastAsia" w:ascii="宋体" w:hAnsi="宋体" w:cs="宋体"/>
          <w:b/>
          <w:bCs/>
          <w:color w:val="000000"/>
          <w:sz w:val="28"/>
          <w:szCs w:val="36"/>
          <w:lang w:val="en-US" w:eastAsia="zh-CN"/>
        </w:rPr>
        <w:t>项目需</w:t>
      </w:r>
      <w:r>
        <w:rPr>
          <w:rFonts w:hint="eastAsia" w:ascii="宋体" w:hAnsi="宋体" w:cs="宋体"/>
          <w:b/>
          <w:bCs/>
          <w:color w:val="000000"/>
          <w:sz w:val="28"/>
          <w:szCs w:val="36"/>
        </w:rPr>
        <w:t>求</w:t>
      </w:r>
      <w:bookmarkEnd w:id="0"/>
      <w:bookmarkEnd w:id="1"/>
      <w:bookmarkEnd w:id="2"/>
    </w:p>
    <w:p w14:paraId="08A54E71">
      <w:pPr>
        <w:pageBreakBefore w:val="0"/>
        <w:kinsoku/>
        <w:overflowPunct/>
        <w:topLinePunct w:val="0"/>
        <w:bidi w:val="0"/>
        <w:spacing w:line="360" w:lineRule="auto"/>
        <w:ind w:firstLine="316" w:firstLineChars="150"/>
        <w:textAlignment w:val="auto"/>
        <w:outlineLvl w:val="9"/>
        <w:rPr>
          <w:rFonts w:hint="eastAsia" w:ascii="宋体" w:hAnsi="宋体" w:cs="宋体"/>
          <w:b/>
          <w:bCs/>
          <w:color w:val="000000"/>
          <w:highlight w:val="none"/>
          <w:lang w:val="en-US" w:eastAsia="zh-CN"/>
        </w:rPr>
      </w:pPr>
      <w:r>
        <w:rPr>
          <w:rFonts w:hint="eastAsia" w:ascii="宋体" w:hAnsi="宋体" w:cs="宋体"/>
          <w:b/>
          <w:bCs/>
          <w:color w:val="000000"/>
          <w:lang w:val="en-US" w:eastAsia="zh-CN"/>
        </w:rPr>
        <w:t>一、项目概况</w:t>
      </w:r>
    </w:p>
    <w:p w14:paraId="75E22F0D">
      <w:pPr>
        <w:pageBreakBefore w:val="0"/>
        <w:overflowPunct/>
        <w:topLinePunct w:val="0"/>
        <w:bidi w:val="0"/>
        <w:spacing w:line="360" w:lineRule="auto"/>
        <w:ind w:firstLine="420" w:firstLineChars="200"/>
        <w:textAlignment w:val="auto"/>
        <w:outlineLvl w:val="9"/>
        <w:rPr>
          <w:rFonts w:hint="eastAsia" w:ascii="宋体" w:hAnsi="宋体"/>
          <w:szCs w:val="21"/>
          <w:highlight w:val="none"/>
        </w:rPr>
      </w:pPr>
      <w:r>
        <w:rPr>
          <w:rFonts w:hint="eastAsia" w:ascii="宋体" w:hAnsi="宋体"/>
          <w:szCs w:val="21"/>
          <w:highlight w:val="none"/>
        </w:rPr>
        <w:t>1.项目概况：</w:t>
      </w:r>
    </w:p>
    <w:p w14:paraId="326DBEF0">
      <w:pPr>
        <w:pageBreakBefore w:val="0"/>
        <w:overflowPunct/>
        <w:topLinePunct w:val="0"/>
        <w:bidi w:val="0"/>
        <w:spacing w:line="360" w:lineRule="auto"/>
        <w:ind w:firstLine="420" w:firstLineChars="200"/>
        <w:textAlignment w:val="auto"/>
        <w:outlineLvl w:val="9"/>
        <w:rPr>
          <w:rFonts w:hint="eastAsia" w:ascii="宋体" w:hAnsi="宋体" w:eastAsia="宋体" w:cs="Times New Roman"/>
          <w:color w:val="auto"/>
          <w:szCs w:val="21"/>
          <w:highlight w:val="none"/>
          <w:lang w:val="en-US" w:eastAsia="zh-CN"/>
        </w:rPr>
      </w:pPr>
      <w:r>
        <w:rPr>
          <w:rFonts w:hint="eastAsia" w:ascii="宋体" w:hAnsi="宋体" w:eastAsia="宋体" w:cs="Times New Roman"/>
          <w:szCs w:val="21"/>
          <w:lang w:val="en-US" w:eastAsia="zh-CN"/>
        </w:rPr>
        <w:t>1）</w:t>
      </w:r>
      <w:r>
        <w:rPr>
          <w:rFonts w:hint="eastAsia" w:ascii="宋体" w:hAnsi="宋体" w:eastAsia="宋体" w:cs="Times New Roman"/>
          <w:szCs w:val="21"/>
          <w:lang w:eastAsia="zh-CN"/>
        </w:rPr>
        <w:t>安庆职业技</w:t>
      </w:r>
      <w:r>
        <w:rPr>
          <w:rFonts w:hint="eastAsia" w:ascii="宋体" w:hAnsi="宋体"/>
          <w:color w:val="auto"/>
          <w:szCs w:val="21"/>
          <w:highlight w:val="none"/>
          <w:lang w:eastAsia="zh-CN"/>
        </w:rPr>
        <w:t>术学院</w:t>
      </w:r>
      <w:r>
        <w:rPr>
          <w:rFonts w:hint="eastAsia" w:ascii="宋体" w:hAnsi="宋体"/>
          <w:color w:val="auto"/>
          <w:szCs w:val="21"/>
          <w:highlight w:val="none"/>
          <w:lang w:val="en-US" w:eastAsia="zh-CN"/>
        </w:rPr>
        <w:t>1</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2号</w:t>
      </w:r>
      <w:r>
        <w:rPr>
          <w:rFonts w:hint="eastAsia" w:ascii="宋体" w:hAnsi="宋体" w:eastAsia="宋体" w:cs="Times New Roman"/>
          <w:color w:val="auto"/>
          <w:szCs w:val="21"/>
          <w:highlight w:val="none"/>
          <w:lang w:val="en-US" w:eastAsia="zh-CN"/>
        </w:rPr>
        <w:t>学生公寓楼改造</w:t>
      </w:r>
      <w:r>
        <w:rPr>
          <w:rFonts w:hint="eastAsia" w:ascii="宋体" w:hAnsi="宋体" w:eastAsia="宋体" w:cs="Times New Roman"/>
          <w:color w:val="auto"/>
          <w:szCs w:val="21"/>
          <w:highlight w:val="none"/>
          <w:lang w:eastAsia="zh-CN"/>
        </w:rPr>
        <w:t>工程项目，位于安庆职业技术学院校内，1号学生宿舍楼，原学生宿舍A楼，总建筑面积11898 ㎡，2号学生宿舍楼为原学生宿舍B1楼</w:t>
      </w:r>
      <w:r>
        <w:rPr>
          <w:rFonts w:hint="eastAsia" w:ascii="宋体" w:hAnsi="宋体" w:cs="Times New Roman"/>
          <w:color w:val="auto"/>
          <w:szCs w:val="21"/>
          <w:highlight w:val="none"/>
          <w:lang w:eastAsia="zh-CN"/>
        </w:rPr>
        <w:t>，</w:t>
      </w:r>
      <w:r>
        <w:rPr>
          <w:rFonts w:hint="eastAsia" w:ascii="宋体" w:hAnsi="宋体" w:eastAsia="宋体" w:cs="Times New Roman"/>
          <w:color w:val="auto"/>
          <w:szCs w:val="21"/>
          <w:highlight w:val="none"/>
          <w:lang w:eastAsia="zh-CN"/>
        </w:rPr>
        <w:t>总建筑面积 9612 ㎡，均为六层，建筑高度19.5</w:t>
      </w:r>
      <w:r>
        <w:rPr>
          <w:rFonts w:hint="eastAsia" w:ascii="宋体" w:hAnsi="宋体" w:cs="Times New Roman"/>
          <w:color w:val="auto"/>
          <w:szCs w:val="21"/>
          <w:highlight w:val="none"/>
          <w:lang w:val="en-US" w:eastAsia="zh-CN"/>
        </w:rPr>
        <w:t>m</w:t>
      </w:r>
      <w:r>
        <w:rPr>
          <w:rFonts w:hint="eastAsia" w:ascii="宋体" w:hAnsi="宋体" w:cs="Times New Roman"/>
          <w:color w:val="auto"/>
          <w:szCs w:val="21"/>
          <w:highlight w:val="none"/>
          <w:lang w:eastAsia="zh-CN"/>
        </w:rPr>
        <w:t>。</w:t>
      </w:r>
      <w:r>
        <w:rPr>
          <w:rFonts w:hint="eastAsia" w:ascii="宋体" w:hAnsi="宋体" w:eastAsia="宋体" w:cs="Times New Roman"/>
          <w:color w:val="auto"/>
          <w:szCs w:val="21"/>
          <w:highlight w:val="none"/>
          <w:lang w:eastAsia="zh-CN"/>
        </w:rPr>
        <w:t>该工程项目估算价</w:t>
      </w:r>
      <w:r>
        <w:rPr>
          <w:rFonts w:hint="eastAsia" w:ascii="宋体" w:hAnsi="宋体" w:eastAsia="宋体" w:cs="Times New Roman"/>
          <w:color w:val="auto"/>
          <w:szCs w:val="21"/>
          <w:highlight w:val="none"/>
          <w:lang w:val="en-US" w:eastAsia="zh-CN"/>
        </w:rPr>
        <w:t>1300万元（最终以招标价格为准），计划工期55日历天。</w:t>
      </w:r>
    </w:p>
    <w:p w14:paraId="5F2A9159">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szCs w:val="21"/>
          <w:highlight w:val="none"/>
        </w:rPr>
      </w:pPr>
      <w:r>
        <w:rPr>
          <w:rFonts w:hint="eastAsia" w:ascii="宋体" w:hAnsi="宋体" w:eastAsia="宋体" w:cs="Times New Roman"/>
          <w:color w:val="auto"/>
          <w:szCs w:val="21"/>
          <w:highlight w:val="none"/>
          <w:lang w:val="en-US" w:eastAsia="zh-CN"/>
        </w:rPr>
        <w:t>2）安庆职业技术学院校园北区消防改造工程项目，位于安庆职业技术学院校内，该工程控制价约800万（最终以招标价格为准）。主要建设内容为：将1-7号学生公寓楼、图文信息中心、食堂的消火栓环网水源由市政供水改为消防水池供水；更换1-7号宿舍楼、图文中心和食堂的室内消火栓管道、室内消火栓箱、灭火器及应急照明系统；新建火灾报警系统和消防控制室等内容，计划工期90日历天。</w:t>
      </w:r>
    </w:p>
    <w:p w14:paraId="668F97E7">
      <w:pPr>
        <w:keepNext w:val="0"/>
        <w:keepLines w:val="0"/>
        <w:pageBreakBefore w:val="0"/>
        <w:kinsoku/>
        <w:wordWrap/>
        <w:overflowPunct/>
        <w:topLinePunct w:val="0"/>
        <w:autoSpaceDE w:val="0"/>
        <w:autoSpaceDN w:val="0"/>
        <w:bidi w:val="0"/>
        <w:adjustRightInd w:val="0"/>
        <w:snapToGrid w:val="0"/>
        <w:spacing w:line="360" w:lineRule="auto"/>
        <w:ind w:left="0" w:leftChars="0" w:right="0" w:rightChars="0" w:firstLine="420" w:firstLineChars="200"/>
        <w:jc w:val="left"/>
        <w:textAlignment w:val="auto"/>
        <w:outlineLvl w:val="9"/>
        <w:rPr>
          <w:rFonts w:hint="eastAsia" w:ascii="宋体" w:hAnsi="宋体" w:cs="宋体"/>
          <w:szCs w:val="21"/>
        </w:rPr>
      </w:pPr>
      <w:r>
        <w:rPr>
          <w:rFonts w:hint="eastAsia" w:ascii="宋体" w:hAnsi="宋体"/>
          <w:szCs w:val="21"/>
          <w:highlight w:val="none"/>
        </w:rPr>
        <w:t>2.工程监理内容：</w:t>
      </w:r>
      <w:r>
        <w:rPr>
          <w:rFonts w:hint="eastAsia" w:ascii="宋体" w:hAnsi="宋体"/>
          <w:szCs w:val="21"/>
        </w:rPr>
        <w:t>上述工程施工及缺陷责任期全过程监理，</w:t>
      </w:r>
      <w:r>
        <w:rPr>
          <w:rFonts w:hint="eastAsia" w:ascii="宋体" w:hAnsi="宋体"/>
          <w:szCs w:val="21"/>
          <w:lang w:val="en-US" w:eastAsia="zh-CN"/>
        </w:rPr>
        <w:t>含</w:t>
      </w:r>
      <w:r>
        <w:rPr>
          <w:rFonts w:hint="eastAsia" w:ascii="宋体" w:hAnsi="宋体" w:cs="宋体"/>
          <w:szCs w:val="21"/>
          <w:highlight w:val="none"/>
          <w:lang w:val="en-US" w:eastAsia="zh-CN"/>
        </w:rPr>
        <w:t>施工前期准备阶段和施工阶段的质量、进度、投资控制及安全、合同、信息管理和各参建</w:t>
      </w:r>
      <w:r>
        <w:rPr>
          <w:rFonts w:hint="eastAsia" w:ascii="宋体" w:hAnsi="宋体" w:cs="宋体"/>
          <w:szCs w:val="21"/>
          <w:lang w:val="en-US" w:eastAsia="zh-CN"/>
        </w:rPr>
        <w:t>方协调等监理及后续服务工作</w:t>
      </w:r>
      <w:r>
        <w:rPr>
          <w:rFonts w:hint="eastAsia" w:ascii="宋体" w:hAnsi="宋体"/>
          <w:szCs w:val="21"/>
        </w:rPr>
        <w:t>。</w:t>
      </w:r>
    </w:p>
    <w:p w14:paraId="705071B4">
      <w:pPr>
        <w:pageBreakBefore w:val="0"/>
        <w:widowControl/>
        <w:kinsoku/>
        <w:overflowPunct/>
        <w:topLinePunct w:val="0"/>
        <w:bidi w:val="0"/>
        <w:spacing w:line="360" w:lineRule="auto"/>
        <w:ind w:firstLine="420" w:firstLineChars="200"/>
        <w:jc w:val="left"/>
        <w:textAlignment w:val="auto"/>
        <w:outlineLvl w:val="9"/>
        <w:rPr>
          <w:rFonts w:hint="eastAsia" w:ascii="宋体" w:hAnsi="宋体" w:cs="宋体"/>
          <w:szCs w:val="21"/>
        </w:rPr>
      </w:pPr>
      <w:r>
        <w:rPr>
          <w:rFonts w:hint="eastAsia" w:ascii="宋体" w:hAnsi="宋体" w:cs="宋体"/>
          <w:szCs w:val="21"/>
        </w:rPr>
        <w:t>依据《安庆市人民政府办公室关于印发安庆市工程建设领域农民工工资专用账户和工程款分账管理办法的通知》（宜政办秘〔2021〕17号）的规定，监理人必须将农民工工资支付情况纳入监理日志内容，督促工程项目总承包人按时足额支付农民工工资。对工程项目发包人未按时足额拨付工资性工程款，工程项目总承包人未按时足额支付农民工工资、未在施工现场醒目位置公示工资性工程款拨付和农民工工资支付清单的，工程项目监理人应及时向安庆市农民工工资专用账户管理办公室报告。</w:t>
      </w:r>
    </w:p>
    <w:p w14:paraId="758F7AC4">
      <w:pPr>
        <w:pageBreakBefore w:val="0"/>
        <w:widowControl/>
        <w:kinsoku/>
        <w:overflowPunct/>
        <w:topLinePunct w:val="0"/>
        <w:bidi w:val="0"/>
        <w:spacing w:line="360" w:lineRule="auto"/>
        <w:ind w:firstLine="420" w:firstLineChars="200"/>
        <w:jc w:val="left"/>
        <w:textAlignment w:val="auto"/>
        <w:outlineLvl w:val="9"/>
        <w:rPr>
          <w:rFonts w:hint="eastAsia" w:ascii="宋体" w:hAnsi="宋体" w:cs="宋体"/>
          <w:szCs w:val="21"/>
        </w:rPr>
      </w:pPr>
      <w:r>
        <w:rPr>
          <w:rFonts w:hint="eastAsia" w:ascii="宋体" w:hAnsi="宋体" w:cs="宋体"/>
          <w:szCs w:val="21"/>
        </w:rPr>
        <w:t>工程项目监理人未将农民工工资支付情况记入监理日志的；或应向管理办公室报告农民工工资支付事项而未报告的，由管理办公室限期约谈，责令限期整改，逾期未整改或整改不到位的，记入市建设行业信用信息系统，列入全市建筑市场重点监管对象。</w:t>
      </w:r>
    </w:p>
    <w:p w14:paraId="1F120FA8">
      <w:pPr>
        <w:pageBreakBefore w:val="0"/>
        <w:widowControl/>
        <w:kinsoku/>
        <w:overflowPunct/>
        <w:topLinePunct w:val="0"/>
        <w:bidi w:val="0"/>
        <w:spacing w:line="360" w:lineRule="auto"/>
        <w:ind w:firstLine="420" w:firstLineChars="200"/>
        <w:jc w:val="left"/>
        <w:textAlignment w:val="auto"/>
        <w:outlineLvl w:val="9"/>
        <w:rPr>
          <w:rFonts w:hint="eastAsia" w:ascii="宋体" w:hAnsi="宋体" w:cs="宋体"/>
          <w:szCs w:val="21"/>
        </w:rPr>
      </w:pPr>
      <w:r>
        <w:rPr>
          <w:rFonts w:hint="eastAsia" w:ascii="宋体" w:hAnsi="宋体" w:cs="宋体"/>
          <w:szCs w:val="21"/>
        </w:rPr>
        <w:t>3.工程监理范围：本次监理工程主要范围为上述工程施工及缺陷责任期（缺陷责任期同施工）全过程监理。在项目实施中如有增减项，</w:t>
      </w:r>
      <w:r>
        <w:rPr>
          <w:rFonts w:hint="eastAsia" w:ascii="宋体" w:hAnsi="宋体" w:cs="宋体"/>
          <w:szCs w:val="21"/>
          <w:lang w:val="en-US" w:eastAsia="zh-CN"/>
        </w:rPr>
        <w:t>成交</w:t>
      </w:r>
      <w:r>
        <w:rPr>
          <w:rFonts w:hint="eastAsia" w:ascii="宋体" w:hAnsi="宋体" w:cs="宋体"/>
          <w:szCs w:val="21"/>
        </w:rPr>
        <w:t>人的服务内容则相应予以增加或减少，并作为本次</w:t>
      </w:r>
      <w:r>
        <w:rPr>
          <w:rFonts w:hint="eastAsia" w:ascii="宋体" w:hAnsi="宋体" w:cs="宋体"/>
          <w:szCs w:val="21"/>
          <w:lang w:val="en-US" w:eastAsia="zh-CN"/>
        </w:rPr>
        <w:t>谈判</w:t>
      </w:r>
      <w:r>
        <w:rPr>
          <w:rFonts w:hint="eastAsia" w:ascii="宋体" w:hAnsi="宋体" w:cs="宋体"/>
          <w:szCs w:val="21"/>
        </w:rPr>
        <w:t>的组成部分。</w:t>
      </w:r>
    </w:p>
    <w:p w14:paraId="5CEB8C6A">
      <w:pPr>
        <w:pageBreakBefore w:val="0"/>
        <w:widowControl/>
        <w:kinsoku/>
        <w:overflowPunct/>
        <w:topLinePunct w:val="0"/>
        <w:bidi w:val="0"/>
        <w:spacing w:line="360" w:lineRule="auto"/>
        <w:ind w:firstLine="420" w:firstLineChars="200"/>
        <w:jc w:val="left"/>
        <w:textAlignment w:val="auto"/>
        <w:outlineLvl w:val="9"/>
        <w:rPr>
          <w:rFonts w:hint="eastAsia" w:ascii="宋体" w:hAnsi="宋体" w:cs="宋体"/>
          <w:szCs w:val="21"/>
        </w:rPr>
      </w:pPr>
      <w:r>
        <w:rPr>
          <w:rFonts w:hint="eastAsia" w:ascii="宋体" w:hAnsi="宋体" w:cs="宋体"/>
          <w:szCs w:val="21"/>
        </w:rPr>
        <w:t>工程监理具体内容详见施工设计图内容和有关说明。</w:t>
      </w:r>
    </w:p>
    <w:p w14:paraId="4F59DEA0">
      <w:pPr>
        <w:pageBreakBefore w:val="0"/>
        <w:widowControl/>
        <w:kinsoku/>
        <w:overflowPunct/>
        <w:topLinePunct w:val="0"/>
        <w:bidi w:val="0"/>
        <w:spacing w:line="360" w:lineRule="auto"/>
        <w:ind w:firstLine="420" w:firstLineChars="200"/>
        <w:jc w:val="left"/>
        <w:textAlignment w:val="auto"/>
        <w:outlineLvl w:val="9"/>
        <w:rPr>
          <w:rFonts w:hint="eastAsia" w:ascii="宋体" w:hAnsi="宋体" w:eastAsia="宋体" w:cs="宋体"/>
          <w:szCs w:val="21"/>
          <w:lang w:eastAsia="zh-CN"/>
        </w:rPr>
      </w:pPr>
      <w:r>
        <w:rPr>
          <w:rFonts w:hint="eastAsia" w:ascii="宋体" w:hAnsi="宋体" w:cs="宋体"/>
          <w:szCs w:val="21"/>
        </w:rPr>
        <w:t>4.工程质量监理及检查验收标准、</w:t>
      </w:r>
      <w:r>
        <w:rPr>
          <w:rFonts w:hint="eastAsia" w:ascii="宋体" w:hAnsi="宋体" w:cs="宋体"/>
          <w:szCs w:val="21"/>
          <w:lang w:val="en-US" w:eastAsia="zh-CN"/>
        </w:rPr>
        <w:t>采购</w:t>
      </w:r>
      <w:r>
        <w:rPr>
          <w:rFonts w:hint="eastAsia" w:ascii="宋体" w:hAnsi="宋体" w:cs="宋体"/>
          <w:szCs w:val="21"/>
        </w:rPr>
        <w:t>人的项目实施目标、拟采用的具体项目控制手段</w:t>
      </w:r>
      <w:r>
        <w:rPr>
          <w:rFonts w:hint="eastAsia" w:ascii="宋体" w:hAnsi="宋体" w:cs="宋体"/>
          <w:szCs w:val="21"/>
          <w:lang w:eastAsia="zh-CN"/>
        </w:rPr>
        <w:t>。</w:t>
      </w:r>
    </w:p>
    <w:p w14:paraId="0321C37F">
      <w:pPr>
        <w:pageBreakBefore w:val="0"/>
        <w:widowControl/>
        <w:kinsoku/>
        <w:overflowPunct/>
        <w:topLinePunct w:val="0"/>
        <w:bidi w:val="0"/>
        <w:spacing w:line="360" w:lineRule="auto"/>
        <w:ind w:firstLine="420" w:firstLineChars="200"/>
        <w:jc w:val="left"/>
        <w:textAlignment w:val="auto"/>
        <w:outlineLvl w:val="9"/>
        <w:rPr>
          <w:rFonts w:hint="eastAsia" w:ascii="宋体" w:hAnsi="宋体" w:cs="宋体"/>
          <w:szCs w:val="21"/>
        </w:rPr>
      </w:pPr>
      <w:r>
        <w:rPr>
          <w:rFonts w:hint="eastAsia" w:ascii="宋体" w:hAnsi="宋体" w:cs="宋体"/>
          <w:szCs w:val="21"/>
        </w:rPr>
        <w:t>本工程以工程施工设计图纸、图纸会审记录、设计变更通知书、技术联系单、各类试验报告、产品合格证书等有关资料和合同规定的条款为依据，按国家颁布的工程施工验收规范及监理大纲进行监理、检查、验收。</w:t>
      </w:r>
    </w:p>
    <w:p w14:paraId="14E92BF8">
      <w:pPr>
        <w:pageBreakBefore w:val="0"/>
        <w:widowControl/>
        <w:kinsoku/>
        <w:overflowPunct/>
        <w:topLinePunct w:val="0"/>
        <w:bidi w:val="0"/>
        <w:spacing w:line="360" w:lineRule="auto"/>
        <w:ind w:firstLine="420" w:firstLineChars="200"/>
        <w:jc w:val="left"/>
        <w:textAlignment w:val="auto"/>
        <w:outlineLvl w:val="9"/>
        <w:rPr>
          <w:rFonts w:hint="eastAsia" w:ascii="宋体" w:hAnsi="宋体" w:cs="宋体"/>
          <w:szCs w:val="21"/>
        </w:rPr>
      </w:pPr>
      <w:r>
        <w:rPr>
          <w:rFonts w:hint="eastAsia" w:ascii="宋体" w:hAnsi="宋体" w:cs="宋体"/>
          <w:szCs w:val="21"/>
        </w:rPr>
        <w:t>5.承诺提供正常监理服务以外其他的相关服务，包括但不限于配合</w:t>
      </w:r>
      <w:r>
        <w:rPr>
          <w:rFonts w:hint="eastAsia" w:ascii="宋体" w:hAnsi="宋体" w:cs="宋体"/>
          <w:szCs w:val="21"/>
          <w:lang w:val="en-US" w:eastAsia="zh-CN"/>
        </w:rPr>
        <w:t>采购</w:t>
      </w:r>
      <w:r>
        <w:rPr>
          <w:rFonts w:hint="eastAsia" w:ascii="宋体" w:hAnsi="宋体" w:cs="宋体"/>
          <w:szCs w:val="21"/>
        </w:rPr>
        <w:t>人办理报建、报批、报审、施工图设计文件复核、施工合同的审定、洽谈以及工程前期的准备工作、设计协调、竣工验收、工程结算初审、工程备案以及工期控制等全过程服务。</w:t>
      </w:r>
    </w:p>
    <w:p w14:paraId="7B2DDA80">
      <w:pPr>
        <w:pageBreakBefore w:val="0"/>
        <w:kinsoku/>
        <w:overflowPunct/>
        <w:topLinePunct w:val="0"/>
        <w:bidi w:val="0"/>
        <w:spacing w:line="360" w:lineRule="auto"/>
        <w:ind w:firstLine="316" w:firstLineChars="150"/>
        <w:textAlignment w:val="auto"/>
        <w:outlineLvl w:val="9"/>
        <w:rPr>
          <w:rFonts w:hint="default" w:ascii="宋体" w:hAnsi="宋体" w:cs="宋体"/>
          <w:b/>
          <w:bCs/>
          <w:color w:val="000000"/>
          <w:lang w:val="en-US"/>
        </w:rPr>
      </w:pPr>
      <w:r>
        <w:rPr>
          <w:rFonts w:hint="eastAsia" w:ascii="宋体" w:hAnsi="宋体" w:cs="宋体"/>
          <w:b/>
          <w:bCs/>
          <w:color w:val="000000"/>
          <w:lang w:val="en-US" w:eastAsia="zh-CN"/>
        </w:rPr>
        <w:t>二、对谈判响应人的要求</w:t>
      </w:r>
    </w:p>
    <w:p w14:paraId="1E4A0237">
      <w:pPr>
        <w:pageBreakBefore w:val="0"/>
        <w:kinsoku/>
        <w:overflowPunct/>
        <w:topLinePunct w:val="0"/>
        <w:bidi w:val="0"/>
        <w:spacing w:line="360" w:lineRule="auto"/>
        <w:ind w:firstLine="420" w:firstLineChars="200"/>
        <w:textAlignment w:val="auto"/>
        <w:outlineLvl w:val="9"/>
        <w:rPr>
          <w:rFonts w:hint="eastAsia" w:ascii="宋体" w:hAnsi="宋体" w:cs="宋体"/>
          <w:szCs w:val="21"/>
        </w:rPr>
      </w:pPr>
      <w:r>
        <w:rPr>
          <w:rFonts w:hint="eastAsia" w:ascii="宋体" w:hAnsi="宋体" w:cs="宋体"/>
          <w:szCs w:val="21"/>
          <w:lang w:val="en-US" w:eastAsia="zh-CN"/>
        </w:rPr>
        <w:t>1</w:t>
      </w:r>
      <w:r>
        <w:rPr>
          <w:rFonts w:hint="eastAsia" w:ascii="宋体" w:hAnsi="宋体" w:cs="宋体"/>
          <w:szCs w:val="21"/>
        </w:rPr>
        <w:t>.</w:t>
      </w:r>
      <w:r>
        <w:rPr>
          <w:rFonts w:hint="eastAsia" w:ascii="宋体" w:hAnsi="宋体" w:cs="宋体"/>
          <w:szCs w:val="21"/>
          <w:lang w:val="en-US" w:eastAsia="zh-CN"/>
        </w:rPr>
        <w:t>谈判响应</w:t>
      </w:r>
      <w:r>
        <w:rPr>
          <w:rFonts w:hint="eastAsia" w:ascii="宋体" w:hAnsi="宋体" w:cs="宋体"/>
          <w:szCs w:val="21"/>
        </w:rPr>
        <w:t>人在本地区没有被限制、取消</w:t>
      </w:r>
      <w:r>
        <w:rPr>
          <w:rFonts w:hint="eastAsia" w:ascii="宋体" w:hAnsi="宋体" w:cs="宋体"/>
          <w:szCs w:val="21"/>
          <w:lang w:val="en-US" w:eastAsia="zh-CN"/>
        </w:rPr>
        <w:t>谈判（投标）</w:t>
      </w:r>
      <w:r>
        <w:rPr>
          <w:rFonts w:hint="eastAsia" w:ascii="宋体" w:hAnsi="宋体" w:cs="宋体"/>
          <w:szCs w:val="21"/>
        </w:rPr>
        <w:t>资格或禁止进入本地区建设市场且处于有效期的行政处罚，具备相应监理技术装备及监理技术。</w:t>
      </w:r>
    </w:p>
    <w:p w14:paraId="25FB0F98">
      <w:pPr>
        <w:pageBreakBefore w:val="0"/>
        <w:kinsoku/>
        <w:overflowPunct/>
        <w:topLinePunct w:val="0"/>
        <w:bidi w:val="0"/>
        <w:spacing w:line="360" w:lineRule="auto"/>
        <w:ind w:firstLine="420" w:firstLineChars="200"/>
        <w:textAlignment w:val="auto"/>
        <w:outlineLvl w:val="9"/>
        <w:rPr>
          <w:rFonts w:hint="eastAsia" w:ascii="宋体" w:hAnsi="宋体" w:cs="宋体"/>
          <w:szCs w:val="21"/>
        </w:rPr>
      </w:pPr>
      <w:r>
        <w:rPr>
          <w:rFonts w:hint="eastAsia" w:ascii="宋体" w:hAnsi="宋体" w:cs="宋体"/>
          <w:szCs w:val="16"/>
          <w:lang w:val="en-US" w:eastAsia="zh-CN"/>
        </w:rPr>
        <w:t>2</w:t>
      </w:r>
      <w:r>
        <w:rPr>
          <w:rFonts w:hint="eastAsia" w:ascii="宋体" w:hAnsi="宋体" w:cs="宋体"/>
          <w:szCs w:val="16"/>
        </w:rPr>
        <w:t>.各</w:t>
      </w:r>
      <w:r>
        <w:rPr>
          <w:rFonts w:hint="eastAsia" w:ascii="宋体" w:hAnsi="宋体" w:cs="宋体"/>
          <w:szCs w:val="21"/>
          <w:lang w:val="en-US" w:eastAsia="zh-CN"/>
        </w:rPr>
        <w:t>谈判响应</w:t>
      </w:r>
      <w:r>
        <w:rPr>
          <w:rFonts w:hint="eastAsia" w:ascii="宋体" w:hAnsi="宋体" w:cs="宋体"/>
          <w:szCs w:val="21"/>
        </w:rPr>
        <w:t>人必须按本工程的特点，认真阅读</w:t>
      </w:r>
      <w:r>
        <w:rPr>
          <w:rFonts w:hint="eastAsia" w:ascii="宋体" w:hAnsi="宋体" w:cs="宋体"/>
          <w:szCs w:val="21"/>
          <w:lang w:val="en-US" w:eastAsia="zh-CN"/>
        </w:rPr>
        <w:t>竞争性谈判</w:t>
      </w:r>
      <w:r>
        <w:rPr>
          <w:rFonts w:hint="eastAsia" w:ascii="宋体" w:hAnsi="宋体" w:cs="宋体"/>
          <w:szCs w:val="21"/>
        </w:rPr>
        <w:t>文件内容，按照</w:t>
      </w:r>
      <w:r>
        <w:rPr>
          <w:rFonts w:hint="eastAsia" w:ascii="宋体" w:hAnsi="宋体" w:cs="宋体"/>
          <w:szCs w:val="21"/>
          <w:lang w:val="en-US" w:eastAsia="zh-CN"/>
        </w:rPr>
        <w:t>竞争性谈判</w:t>
      </w:r>
      <w:r>
        <w:rPr>
          <w:rFonts w:hint="eastAsia" w:ascii="宋体" w:hAnsi="宋体" w:cs="宋体"/>
          <w:szCs w:val="21"/>
        </w:rPr>
        <w:t>文件要求编写</w:t>
      </w:r>
      <w:r>
        <w:rPr>
          <w:rFonts w:hint="eastAsia" w:ascii="宋体" w:hAnsi="宋体" w:cs="宋体"/>
          <w:szCs w:val="21"/>
          <w:lang w:val="en-US" w:eastAsia="zh-CN"/>
        </w:rPr>
        <w:t>谈判响应</w:t>
      </w:r>
      <w:r>
        <w:rPr>
          <w:rFonts w:hint="eastAsia" w:ascii="宋体" w:hAnsi="宋体" w:cs="宋体"/>
          <w:szCs w:val="21"/>
        </w:rPr>
        <w:t>文件</w:t>
      </w:r>
      <w:r>
        <w:rPr>
          <w:rFonts w:hint="eastAsia" w:ascii="宋体" w:hAnsi="宋体" w:cs="宋体"/>
          <w:szCs w:val="21"/>
          <w:lang w:val="en-US" w:eastAsia="zh-CN"/>
        </w:rPr>
        <w:t>及工程监理大纲</w:t>
      </w:r>
      <w:r>
        <w:rPr>
          <w:rFonts w:hint="eastAsia" w:ascii="宋体" w:hAnsi="宋体" w:cs="宋体"/>
          <w:szCs w:val="21"/>
          <w:lang w:eastAsia="zh-CN"/>
        </w:rPr>
        <w:t>，</w:t>
      </w:r>
      <w:r>
        <w:rPr>
          <w:rFonts w:hint="eastAsia" w:ascii="宋体" w:hAnsi="宋体" w:cs="宋体"/>
          <w:szCs w:val="21"/>
        </w:rPr>
        <w:t>其内容必须详尽。</w:t>
      </w:r>
    </w:p>
    <w:p w14:paraId="58306C1C">
      <w:pPr>
        <w:pageBreakBefore w:val="0"/>
        <w:kinsoku/>
        <w:overflowPunct/>
        <w:topLinePunct w:val="0"/>
        <w:bidi w:val="0"/>
        <w:spacing w:line="360" w:lineRule="auto"/>
        <w:ind w:firstLine="420" w:firstLineChars="200"/>
        <w:textAlignment w:val="auto"/>
        <w:outlineLvl w:val="9"/>
        <w:rPr>
          <w:rFonts w:hint="eastAsia" w:ascii="宋体" w:hAnsi="宋体" w:cs="宋体"/>
          <w:szCs w:val="21"/>
        </w:rPr>
      </w:pPr>
      <w:r>
        <w:rPr>
          <w:rFonts w:hint="eastAsia" w:ascii="宋体" w:hAnsi="宋体" w:cs="宋体"/>
          <w:szCs w:val="21"/>
          <w:lang w:val="en-US" w:eastAsia="zh-CN"/>
        </w:rPr>
        <w:t>3</w:t>
      </w:r>
      <w:r>
        <w:rPr>
          <w:rFonts w:hint="eastAsia" w:ascii="宋体" w:hAnsi="宋体" w:cs="宋体"/>
          <w:szCs w:val="21"/>
        </w:rPr>
        <w:t>.</w:t>
      </w:r>
      <w:r>
        <w:rPr>
          <w:rFonts w:hint="eastAsia" w:ascii="宋体" w:hAnsi="宋体" w:cs="宋体"/>
          <w:szCs w:val="21"/>
          <w:lang w:val="en-US" w:eastAsia="zh-CN"/>
        </w:rPr>
        <w:t xml:space="preserve">投标人须具备保证施工质量的监理管理体系。 </w:t>
      </w:r>
    </w:p>
    <w:p w14:paraId="562C788E">
      <w:pPr>
        <w:pageBreakBefore w:val="0"/>
        <w:kinsoku/>
        <w:overflowPunct/>
        <w:topLinePunct w:val="0"/>
        <w:bidi w:val="0"/>
        <w:spacing w:line="360" w:lineRule="auto"/>
        <w:ind w:firstLine="420" w:firstLineChars="200"/>
        <w:textAlignment w:val="auto"/>
        <w:outlineLvl w:val="9"/>
        <w:rPr>
          <w:rFonts w:hint="eastAsia" w:ascii="宋体" w:hAnsi="宋体" w:cs="宋体"/>
          <w:szCs w:val="21"/>
        </w:rPr>
      </w:pPr>
      <w:r>
        <w:rPr>
          <w:rFonts w:hint="eastAsia" w:ascii="宋体" w:hAnsi="宋体" w:cs="宋体"/>
          <w:szCs w:val="21"/>
          <w:lang w:val="en-US" w:eastAsia="zh-CN"/>
        </w:rPr>
        <w:t>4.谈判响应</w:t>
      </w:r>
      <w:r>
        <w:rPr>
          <w:rFonts w:hint="eastAsia" w:ascii="宋体" w:hAnsi="宋体" w:cs="宋体"/>
          <w:szCs w:val="21"/>
        </w:rPr>
        <w:t>人在本工程中配备的总监及监理工程师，须具有丰富的监理经验、身体健康、年龄适中、有良好职业道德的专职人员。总监理工程师必须具备国家注册监理工程师执业资格。</w:t>
      </w:r>
    </w:p>
    <w:p w14:paraId="5EE08FB9">
      <w:pPr>
        <w:pageBreakBefore w:val="0"/>
        <w:kinsoku/>
        <w:overflowPunct/>
        <w:topLinePunct w:val="0"/>
        <w:bidi w:val="0"/>
        <w:spacing w:line="360" w:lineRule="auto"/>
        <w:ind w:firstLine="420" w:firstLineChars="200"/>
        <w:textAlignment w:val="auto"/>
        <w:outlineLvl w:val="9"/>
        <w:rPr>
          <w:rFonts w:hint="eastAsia" w:ascii="宋体" w:hAnsi="宋体" w:cs="宋体"/>
          <w:b w:val="0"/>
          <w:bCs w:val="0"/>
          <w:szCs w:val="21"/>
          <w:highlight w:val="none"/>
        </w:rPr>
      </w:pPr>
      <w:r>
        <w:rPr>
          <w:rFonts w:hint="eastAsia" w:ascii="宋体" w:hAnsi="宋体" w:cs="宋体"/>
          <w:szCs w:val="21"/>
          <w:lang w:val="en-US" w:eastAsia="zh-CN"/>
        </w:rPr>
        <w:t>5</w:t>
      </w:r>
      <w:r>
        <w:rPr>
          <w:rFonts w:hint="eastAsia" w:ascii="宋体" w:hAnsi="宋体" w:cs="宋体"/>
          <w:szCs w:val="21"/>
        </w:rPr>
        <w:t>.承担本项目监理的监理机构须进驻现场，</w:t>
      </w:r>
      <w:r>
        <w:rPr>
          <w:rFonts w:hint="eastAsia" w:ascii="宋体" w:hAnsi="宋体" w:cs="宋体"/>
          <w:b w:val="0"/>
          <w:bCs w:val="0"/>
          <w:szCs w:val="21"/>
          <w:highlight w:val="none"/>
        </w:rPr>
        <w:t>总监理工程师必须常驻现场，所有监理人员出勤率为100%</w:t>
      </w:r>
      <w:r>
        <w:rPr>
          <w:rFonts w:hint="eastAsia" w:ascii="宋体" w:hAnsi="宋体" w:cs="宋体"/>
          <w:b w:val="0"/>
          <w:bCs w:val="0"/>
          <w:szCs w:val="21"/>
          <w:highlight w:val="none"/>
          <w:lang w:eastAsia="zh-CN"/>
        </w:rPr>
        <w:t>（</w:t>
      </w:r>
      <w:r>
        <w:rPr>
          <w:rFonts w:hint="eastAsia" w:ascii="宋体" w:hAnsi="宋体" w:cs="宋体"/>
          <w:b w:val="0"/>
          <w:bCs w:val="0"/>
          <w:szCs w:val="21"/>
          <w:highlight w:val="none"/>
          <w:lang w:val="en-US" w:eastAsia="zh-CN"/>
        </w:rPr>
        <w:t>除总监</w:t>
      </w:r>
      <w:r>
        <w:rPr>
          <w:rFonts w:hint="eastAsia" w:ascii="宋体" w:hAnsi="宋体" w:cs="宋体"/>
          <w:b w:val="0"/>
          <w:bCs w:val="0"/>
          <w:szCs w:val="21"/>
          <w:highlight w:val="none"/>
          <w:lang w:eastAsia="zh-CN"/>
        </w:rPr>
        <w:t>）</w:t>
      </w:r>
      <w:r>
        <w:rPr>
          <w:rFonts w:hint="eastAsia" w:ascii="宋体" w:hAnsi="宋体" w:cs="宋体"/>
          <w:b w:val="0"/>
          <w:bCs w:val="0"/>
          <w:szCs w:val="21"/>
          <w:highlight w:val="none"/>
        </w:rPr>
        <w:t>，项目监理机构关键岗位人员必须符合住房城乡建设部及安徽省相关标准规定，否则根据相关规定予以处理，直至清退出场。</w:t>
      </w:r>
    </w:p>
    <w:p w14:paraId="6E02C913">
      <w:pPr>
        <w:pageBreakBefore w:val="0"/>
        <w:kinsoku/>
        <w:overflowPunct/>
        <w:topLinePunct w:val="0"/>
        <w:bidi w:val="0"/>
        <w:spacing w:line="360" w:lineRule="auto"/>
        <w:ind w:firstLine="420" w:firstLineChars="200"/>
        <w:textAlignment w:val="auto"/>
        <w:outlineLvl w:val="9"/>
        <w:rPr>
          <w:rFonts w:hint="eastAsia" w:ascii="宋体" w:hAnsi="宋体" w:cs="宋体"/>
          <w:szCs w:val="21"/>
        </w:rPr>
      </w:pPr>
      <w:r>
        <w:rPr>
          <w:rFonts w:hint="eastAsia" w:ascii="宋体" w:hAnsi="宋体" w:cs="宋体"/>
          <w:b w:val="0"/>
          <w:bCs w:val="0"/>
          <w:szCs w:val="21"/>
          <w:highlight w:val="none"/>
          <w:lang w:val="en-US" w:eastAsia="zh-CN"/>
        </w:rPr>
        <w:t>6</w:t>
      </w:r>
      <w:r>
        <w:rPr>
          <w:rFonts w:hint="eastAsia" w:ascii="宋体" w:hAnsi="宋体" w:cs="宋体"/>
          <w:b w:val="0"/>
          <w:bCs w:val="0"/>
          <w:szCs w:val="21"/>
          <w:highlight w:val="none"/>
        </w:rPr>
        <w:t>.在建设过程中，</w:t>
      </w:r>
      <w:r>
        <w:rPr>
          <w:rFonts w:hint="eastAsia" w:ascii="宋体" w:hAnsi="宋体" w:cs="宋体"/>
          <w:b w:val="0"/>
          <w:bCs w:val="0"/>
          <w:szCs w:val="21"/>
          <w:highlight w:val="none"/>
          <w:lang w:val="en-US" w:eastAsia="zh-CN"/>
        </w:rPr>
        <w:t>成交</w:t>
      </w:r>
      <w:r>
        <w:rPr>
          <w:rFonts w:hint="eastAsia" w:ascii="宋体" w:hAnsi="宋体" w:cs="宋体"/>
          <w:b w:val="0"/>
          <w:bCs w:val="0"/>
          <w:szCs w:val="21"/>
          <w:highlight w:val="none"/>
        </w:rPr>
        <w:t>人必须按</w:t>
      </w:r>
      <w:r>
        <w:rPr>
          <w:rFonts w:hint="eastAsia" w:ascii="宋体" w:hAnsi="宋体" w:cs="宋体"/>
          <w:b w:val="0"/>
          <w:bCs w:val="0"/>
          <w:szCs w:val="21"/>
          <w:highlight w:val="none"/>
          <w:lang w:val="en-US" w:eastAsia="zh-CN"/>
        </w:rPr>
        <w:t>谈判</w:t>
      </w:r>
      <w:r>
        <w:rPr>
          <w:rFonts w:hint="eastAsia" w:ascii="宋体" w:hAnsi="宋体" w:cs="宋体"/>
          <w:b w:val="0"/>
          <w:bCs w:val="0"/>
          <w:szCs w:val="21"/>
          <w:highlight w:val="none"/>
        </w:rPr>
        <w:t>时承诺配备的人员及时到位。未经</w:t>
      </w:r>
      <w:r>
        <w:rPr>
          <w:rFonts w:hint="eastAsia" w:ascii="宋体" w:hAnsi="宋体" w:cs="宋体"/>
          <w:b w:val="0"/>
          <w:bCs w:val="0"/>
          <w:szCs w:val="21"/>
          <w:highlight w:val="none"/>
          <w:lang w:val="en-US" w:eastAsia="zh-CN"/>
        </w:rPr>
        <w:t>采购</w:t>
      </w:r>
      <w:r>
        <w:rPr>
          <w:rFonts w:hint="eastAsia" w:ascii="宋体" w:hAnsi="宋体" w:cs="宋体"/>
          <w:b w:val="0"/>
          <w:bCs w:val="0"/>
          <w:szCs w:val="21"/>
          <w:highlight w:val="none"/>
        </w:rPr>
        <w:t>人同意，</w:t>
      </w:r>
      <w:r>
        <w:rPr>
          <w:rFonts w:hint="eastAsia" w:ascii="宋体" w:hAnsi="宋体" w:cs="宋体"/>
          <w:b w:val="0"/>
          <w:bCs w:val="0"/>
          <w:szCs w:val="21"/>
          <w:highlight w:val="none"/>
          <w:lang w:val="en-US" w:eastAsia="zh-CN"/>
        </w:rPr>
        <w:t>成交</w:t>
      </w:r>
      <w:r>
        <w:rPr>
          <w:rFonts w:hint="eastAsia" w:ascii="宋体" w:hAnsi="宋体" w:cs="宋体"/>
          <w:b w:val="0"/>
          <w:bCs w:val="0"/>
          <w:szCs w:val="21"/>
          <w:highlight w:val="none"/>
        </w:rPr>
        <w:t>人不得擅自更换</w:t>
      </w:r>
      <w:r>
        <w:rPr>
          <w:rFonts w:hint="eastAsia" w:ascii="宋体" w:hAnsi="宋体" w:cs="宋体"/>
          <w:b w:val="0"/>
          <w:bCs w:val="0"/>
          <w:szCs w:val="21"/>
          <w:highlight w:val="none"/>
          <w:lang w:val="en-US" w:eastAsia="zh-CN"/>
        </w:rPr>
        <w:t>谈判</w:t>
      </w:r>
      <w:r>
        <w:rPr>
          <w:rFonts w:hint="eastAsia" w:ascii="宋体" w:hAnsi="宋体" w:cs="宋体"/>
          <w:b w:val="0"/>
          <w:bCs w:val="0"/>
          <w:szCs w:val="21"/>
          <w:highlight w:val="none"/>
        </w:rPr>
        <w:t>时所报总监理工程师及其他监理人员。根据现场施工情况，保证监理人员每天到场数量，</w:t>
      </w:r>
      <w:r>
        <w:rPr>
          <w:rFonts w:hint="eastAsia" w:ascii="宋体" w:hAnsi="宋体" w:cs="宋体"/>
          <w:b w:val="0"/>
          <w:bCs w:val="0"/>
          <w:szCs w:val="21"/>
          <w:highlight w:val="none"/>
          <w:lang w:val="en-US" w:eastAsia="zh-CN"/>
        </w:rPr>
        <w:t>采购</w:t>
      </w:r>
      <w:r>
        <w:rPr>
          <w:rFonts w:hint="eastAsia" w:ascii="宋体" w:hAnsi="宋体" w:cs="宋体"/>
          <w:b w:val="0"/>
          <w:bCs w:val="0"/>
          <w:szCs w:val="21"/>
          <w:highlight w:val="none"/>
        </w:rPr>
        <w:t>人有权根据监理现场人员到位情况，要求其增加专业人员，监理单位必须服从，否则，视同</w:t>
      </w:r>
      <w:r>
        <w:rPr>
          <w:rFonts w:hint="eastAsia" w:ascii="宋体" w:hAnsi="宋体" w:cs="宋体"/>
          <w:b w:val="0"/>
          <w:bCs w:val="0"/>
          <w:szCs w:val="21"/>
          <w:highlight w:val="none"/>
          <w:lang w:val="en-US" w:eastAsia="zh-CN"/>
        </w:rPr>
        <w:t>成交</w:t>
      </w:r>
      <w:r>
        <w:rPr>
          <w:rFonts w:hint="eastAsia" w:ascii="宋体" w:hAnsi="宋体" w:cs="宋体"/>
          <w:b w:val="0"/>
          <w:bCs w:val="0"/>
          <w:szCs w:val="21"/>
          <w:highlight w:val="none"/>
        </w:rPr>
        <w:t>人违约，</w:t>
      </w:r>
      <w:r>
        <w:rPr>
          <w:rFonts w:hint="eastAsia" w:ascii="宋体" w:hAnsi="宋体" w:cs="宋体"/>
          <w:b w:val="0"/>
          <w:bCs w:val="0"/>
          <w:szCs w:val="21"/>
          <w:highlight w:val="none"/>
          <w:lang w:val="en-US" w:eastAsia="zh-CN"/>
        </w:rPr>
        <w:t>采购</w:t>
      </w:r>
      <w:r>
        <w:rPr>
          <w:rFonts w:hint="eastAsia" w:ascii="宋体" w:hAnsi="宋体" w:cs="宋体"/>
          <w:b w:val="0"/>
          <w:bCs w:val="0"/>
          <w:szCs w:val="21"/>
          <w:highlight w:val="none"/>
        </w:rPr>
        <w:t>人有权中止合同履行。</w:t>
      </w:r>
    </w:p>
    <w:p w14:paraId="2EF20A93">
      <w:pPr>
        <w:pageBreakBefore w:val="0"/>
        <w:kinsoku/>
        <w:overflowPunct/>
        <w:topLinePunct w:val="0"/>
        <w:bidi w:val="0"/>
        <w:spacing w:line="360" w:lineRule="auto"/>
        <w:ind w:firstLine="420" w:firstLineChars="200"/>
        <w:textAlignment w:val="auto"/>
        <w:outlineLvl w:val="9"/>
        <w:rPr>
          <w:rFonts w:hint="eastAsia" w:ascii="宋体" w:hAnsi="宋体" w:cs="宋体"/>
          <w:szCs w:val="21"/>
          <w:highlight w:val="none"/>
        </w:rPr>
      </w:pPr>
      <w:r>
        <w:rPr>
          <w:rFonts w:hint="eastAsia" w:ascii="宋体" w:hAnsi="宋体" w:cs="宋体"/>
          <w:szCs w:val="21"/>
          <w:lang w:val="en-US" w:eastAsia="zh-CN"/>
        </w:rPr>
        <w:t>7</w:t>
      </w:r>
      <w:r>
        <w:rPr>
          <w:rFonts w:hint="eastAsia" w:ascii="宋体" w:hAnsi="宋体" w:cs="宋体"/>
          <w:szCs w:val="21"/>
          <w:highlight w:val="none"/>
        </w:rPr>
        <w:t>.因监理原因造成工程质量缺陷、进度滞后、工期延误，给委托人造成损失的，委托人有权在监理合同价款中扣除相关损失费用。</w:t>
      </w:r>
    </w:p>
    <w:p w14:paraId="7666C904">
      <w:pPr>
        <w:pageBreakBefore w:val="0"/>
        <w:kinsoku/>
        <w:overflowPunct/>
        <w:topLinePunct w:val="0"/>
        <w:bidi w:val="0"/>
        <w:spacing w:line="360" w:lineRule="auto"/>
        <w:ind w:firstLine="422" w:firstLineChars="200"/>
        <w:textAlignment w:val="auto"/>
        <w:outlineLvl w:val="9"/>
        <w:rPr>
          <w:rFonts w:ascii="宋体" w:hAnsi="宋体" w:cs="宋体"/>
          <w:b/>
          <w:szCs w:val="21"/>
          <w:highlight w:val="none"/>
        </w:rPr>
      </w:pPr>
      <w:r>
        <w:rPr>
          <w:rFonts w:hint="eastAsia" w:ascii="宋体" w:hAnsi="宋体" w:cs="宋体"/>
          <w:b/>
          <w:bCs/>
          <w:szCs w:val="21"/>
          <w:highlight w:val="none"/>
          <w:lang w:val="en-US" w:eastAsia="zh-CN"/>
        </w:rPr>
        <w:t>8.</w:t>
      </w:r>
      <w:r>
        <w:rPr>
          <w:rFonts w:hint="eastAsia" w:ascii="宋体" w:hAnsi="宋体" w:cs="宋体"/>
          <w:b/>
          <w:szCs w:val="21"/>
          <w:highlight w:val="none"/>
        </w:rPr>
        <w:t>本项目施工工期</w:t>
      </w:r>
      <w:r>
        <w:rPr>
          <w:rFonts w:hint="eastAsia" w:ascii="宋体" w:hAnsi="宋体" w:cs="宋体"/>
          <w:b/>
          <w:szCs w:val="21"/>
          <w:highlight w:val="none"/>
          <w:lang w:val="en-US" w:eastAsia="zh-CN"/>
        </w:rPr>
        <w:t>为计划工期</w:t>
      </w:r>
      <w:r>
        <w:rPr>
          <w:rFonts w:hint="eastAsia" w:ascii="宋体" w:hAnsi="宋体" w:cs="宋体"/>
          <w:b/>
          <w:szCs w:val="21"/>
          <w:highlight w:val="none"/>
        </w:rPr>
        <w:t>，如实际实施时因其他原因导致工期延长，采购人不增加费用，谈判响应</w:t>
      </w:r>
      <w:r>
        <w:rPr>
          <w:rFonts w:hint="eastAsia" w:ascii="宋体" w:hAnsi="宋体" w:cs="宋体"/>
          <w:b/>
          <w:szCs w:val="21"/>
          <w:highlight w:val="none"/>
          <w:lang w:val="en-US" w:eastAsia="zh-CN"/>
        </w:rPr>
        <w:t>人</w:t>
      </w:r>
      <w:r>
        <w:rPr>
          <w:rFonts w:hint="eastAsia" w:ascii="宋体" w:hAnsi="宋体" w:cs="宋体"/>
          <w:b/>
          <w:szCs w:val="21"/>
          <w:highlight w:val="none"/>
        </w:rPr>
        <w:t>谈判报价时应充分考虑此因素，合理报价，一旦成交，不得以任何理由增加费用。</w:t>
      </w:r>
    </w:p>
    <w:p w14:paraId="7ABB9FA0">
      <w:pPr>
        <w:pageBreakBefore w:val="0"/>
        <w:kinsoku/>
        <w:overflowPunct/>
        <w:topLinePunct w:val="0"/>
        <w:bidi w:val="0"/>
        <w:spacing w:line="360" w:lineRule="auto"/>
        <w:ind w:firstLine="420" w:firstLineChars="200"/>
        <w:textAlignment w:val="auto"/>
        <w:outlineLvl w:val="9"/>
        <w:rPr>
          <w:rFonts w:hint="eastAsia" w:ascii="宋体" w:hAnsi="宋体" w:cs="宋体"/>
          <w:szCs w:val="21"/>
        </w:rPr>
      </w:pPr>
      <w:r>
        <w:rPr>
          <w:rFonts w:hint="eastAsia" w:ascii="宋体" w:hAnsi="宋体" w:cs="宋体"/>
          <w:szCs w:val="21"/>
          <w:lang w:val="en-US" w:eastAsia="zh-CN"/>
        </w:rPr>
        <w:t>9.成交</w:t>
      </w:r>
      <w:r>
        <w:rPr>
          <w:rFonts w:hint="eastAsia" w:ascii="宋体" w:hAnsi="宋体" w:cs="宋体"/>
          <w:szCs w:val="21"/>
        </w:rPr>
        <w:t>人应及时安排专业人员负责本项目的工程量形象进度审核工作，向委托人提交监理工作月报及监理业务范围内的专项报告。</w:t>
      </w:r>
    </w:p>
    <w:p w14:paraId="7AEEDC2D">
      <w:pPr>
        <w:pageBreakBefore w:val="0"/>
        <w:kinsoku/>
        <w:overflowPunct/>
        <w:topLinePunct w:val="0"/>
        <w:bidi w:val="0"/>
        <w:spacing w:line="360" w:lineRule="auto"/>
        <w:ind w:firstLine="420" w:firstLineChars="200"/>
        <w:textAlignment w:val="auto"/>
        <w:outlineLvl w:val="9"/>
        <w:rPr>
          <w:rFonts w:hint="eastAsia" w:ascii="宋体" w:hAnsi="宋体" w:cs="宋体"/>
          <w:szCs w:val="16"/>
        </w:rPr>
      </w:pPr>
      <w:r>
        <w:rPr>
          <w:rFonts w:hint="eastAsia" w:ascii="宋体" w:hAnsi="宋体" w:cs="宋体"/>
          <w:szCs w:val="16"/>
          <w:lang w:val="en-US" w:eastAsia="zh-CN"/>
        </w:rPr>
        <w:t>10</w:t>
      </w:r>
      <w:r>
        <w:rPr>
          <w:rFonts w:hint="eastAsia" w:ascii="宋体" w:hAnsi="宋体" w:cs="宋体"/>
          <w:szCs w:val="16"/>
        </w:rPr>
        <w:t>.对</w:t>
      </w:r>
      <w:r>
        <w:rPr>
          <w:rFonts w:hint="eastAsia" w:ascii="宋体" w:hAnsi="宋体" w:cs="宋体"/>
          <w:szCs w:val="21"/>
          <w:lang w:val="en-US" w:eastAsia="zh-CN"/>
        </w:rPr>
        <w:t>谈判响应</w:t>
      </w:r>
      <w:r>
        <w:rPr>
          <w:rFonts w:hint="eastAsia" w:ascii="宋体" w:hAnsi="宋体" w:cs="宋体"/>
          <w:szCs w:val="21"/>
        </w:rPr>
        <w:t>人</w:t>
      </w:r>
      <w:r>
        <w:rPr>
          <w:rFonts w:hint="eastAsia" w:ascii="宋体" w:hAnsi="宋体" w:cs="宋体"/>
          <w:szCs w:val="16"/>
        </w:rPr>
        <w:t>人员的最低配备要求</w:t>
      </w:r>
    </w:p>
    <w:tbl>
      <w:tblPr>
        <w:tblStyle w:val="24"/>
        <w:tblW w:w="10161" w:type="dxa"/>
        <w:tblInd w:w="-1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37"/>
        <w:gridCol w:w="5340"/>
        <w:gridCol w:w="765"/>
        <w:gridCol w:w="1519"/>
      </w:tblGrid>
      <w:tr w14:paraId="1FD3B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exact"/>
        </w:trPr>
        <w:tc>
          <w:tcPr>
            <w:tcW w:w="700" w:type="dxa"/>
            <w:noWrap w:val="0"/>
            <w:vAlign w:val="center"/>
          </w:tcPr>
          <w:p w14:paraId="1EDEB683">
            <w:pPr>
              <w:pageBreakBefore w:val="0"/>
              <w:kinsoku/>
              <w:overflowPunct/>
              <w:topLinePunct w:val="0"/>
              <w:bidi w:val="0"/>
              <w:spacing w:line="360" w:lineRule="auto"/>
              <w:jc w:val="center"/>
              <w:textAlignment w:val="auto"/>
              <w:outlineLvl w:val="9"/>
              <w:rPr>
                <w:rFonts w:hint="eastAsia" w:ascii="宋体" w:hAnsi="宋体" w:eastAsia="宋体" w:cs="宋体"/>
                <w:b/>
                <w:bCs/>
                <w:spacing w:val="20"/>
                <w:sz w:val="28"/>
                <w:szCs w:val="21"/>
                <w:lang w:val="en-US" w:eastAsia="zh-CN"/>
              </w:rPr>
            </w:pPr>
            <w:r>
              <w:rPr>
                <w:rFonts w:hint="eastAsia"/>
              </w:rPr>
              <w:t>序</w:t>
            </w:r>
            <w:r>
              <w:rPr>
                <w:rFonts w:hint="eastAsia"/>
                <w:lang w:val="en-US" w:eastAsia="zh-CN"/>
              </w:rPr>
              <w:t>号</w:t>
            </w:r>
          </w:p>
        </w:tc>
        <w:tc>
          <w:tcPr>
            <w:tcW w:w="1837" w:type="dxa"/>
            <w:noWrap w:val="0"/>
            <w:vAlign w:val="center"/>
          </w:tcPr>
          <w:p w14:paraId="3BB6A237">
            <w:pPr>
              <w:pageBreakBefore w:val="0"/>
              <w:kinsoku/>
              <w:overflowPunct/>
              <w:topLinePunct w:val="0"/>
              <w:bidi w:val="0"/>
              <w:spacing w:line="360" w:lineRule="auto"/>
              <w:jc w:val="center"/>
              <w:textAlignment w:val="auto"/>
              <w:outlineLvl w:val="9"/>
              <w:rPr>
                <w:rFonts w:hint="eastAsia" w:ascii="宋体" w:hAnsi="宋体" w:cs="宋体"/>
                <w:b/>
                <w:bCs/>
                <w:spacing w:val="20"/>
                <w:sz w:val="28"/>
                <w:szCs w:val="21"/>
              </w:rPr>
            </w:pPr>
            <w:r>
              <w:rPr>
                <w:rFonts w:hint="eastAsia"/>
              </w:rPr>
              <w:t>监理岗位</w:t>
            </w:r>
          </w:p>
        </w:tc>
        <w:tc>
          <w:tcPr>
            <w:tcW w:w="5340" w:type="dxa"/>
            <w:noWrap w:val="0"/>
            <w:vAlign w:val="center"/>
          </w:tcPr>
          <w:p w14:paraId="743CA238">
            <w:pPr>
              <w:pageBreakBefore w:val="0"/>
              <w:kinsoku/>
              <w:overflowPunct/>
              <w:topLinePunct w:val="0"/>
              <w:bidi w:val="0"/>
              <w:spacing w:line="360" w:lineRule="auto"/>
              <w:jc w:val="center"/>
              <w:textAlignment w:val="auto"/>
              <w:outlineLvl w:val="9"/>
              <w:rPr>
                <w:rFonts w:hint="eastAsia" w:ascii="宋体" w:hAnsi="宋体" w:cs="宋体"/>
                <w:b/>
                <w:bCs/>
                <w:spacing w:val="20"/>
                <w:sz w:val="28"/>
                <w:szCs w:val="21"/>
              </w:rPr>
            </w:pPr>
            <w:r>
              <w:rPr>
                <w:rFonts w:hint="eastAsia"/>
              </w:rPr>
              <w:t>资格要求</w:t>
            </w:r>
          </w:p>
        </w:tc>
        <w:tc>
          <w:tcPr>
            <w:tcW w:w="765" w:type="dxa"/>
            <w:noWrap w:val="0"/>
            <w:vAlign w:val="center"/>
          </w:tcPr>
          <w:p w14:paraId="64FD1BBA">
            <w:pPr>
              <w:pageBreakBefore w:val="0"/>
              <w:kinsoku/>
              <w:overflowPunct/>
              <w:topLinePunct w:val="0"/>
              <w:bidi w:val="0"/>
              <w:spacing w:line="360" w:lineRule="auto"/>
              <w:jc w:val="center"/>
              <w:textAlignment w:val="auto"/>
              <w:outlineLvl w:val="9"/>
              <w:rPr>
                <w:rFonts w:hint="eastAsia" w:ascii="宋体" w:hAnsi="宋体" w:cs="宋体"/>
                <w:b/>
                <w:bCs/>
                <w:spacing w:val="20"/>
                <w:sz w:val="28"/>
                <w:szCs w:val="21"/>
              </w:rPr>
            </w:pPr>
            <w:r>
              <w:rPr>
                <w:rFonts w:hint="eastAsia"/>
              </w:rPr>
              <w:t>数量</w:t>
            </w:r>
          </w:p>
        </w:tc>
        <w:tc>
          <w:tcPr>
            <w:tcW w:w="1519" w:type="dxa"/>
            <w:noWrap w:val="0"/>
            <w:vAlign w:val="center"/>
          </w:tcPr>
          <w:p w14:paraId="081C35D7">
            <w:pPr>
              <w:pageBreakBefore w:val="0"/>
              <w:kinsoku/>
              <w:overflowPunct/>
              <w:topLinePunct w:val="0"/>
              <w:bidi w:val="0"/>
              <w:spacing w:line="360" w:lineRule="auto"/>
              <w:jc w:val="center"/>
              <w:textAlignment w:val="auto"/>
              <w:outlineLvl w:val="9"/>
              <w:rPr>
                <w:rFonts w:hint="eastAsia" w:ascii="宋体" w:hAnsi="宋体" w:cs="宋体"/>
                <w:b/>
                <w:bCs/>
                <w:spacing w:val="20"/>
                <w:sz w:val="28"/>
                <w:szCs w:val="21"/>
              </w:rPr>
            </w:pPr>
            <w:r>
              <w:rPr>
                <w:rFonts w:hint="eastAsia"/>
              </w:rPr>
              <w:t>备注</w:t>
            </w:r>
          </w:p>
        </w:tc>
      </w:tr>
      <w:tr w14:paraId="66637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700" w:type="dxa"/>
            <w:noWrap w:val="0"/>
            <w:vAlign w:val="center"/>
          </w:tcPr>
          <w:p w14:paraId="2250E68D">
            <w:pPr>
              <w:pageBreakBefore w:val="0"/>
              <w:kinsoku/>
              <w:overflowPunct/>
              <w:topLinePunct w:val="0"/>
              <w:bidi w:val="0"/>
              <w:spacing w:before="120" w:beforeLines="50" w:after="120" w:afterLines="50"/>
              <w:jc w:val="center"/>
              <w:textAlignment w:val="auto"/>
              <w:outlineLvl w:val="9"/>
              <w:rPr>
                <w:rFonts w:hint="eastAsia" w:ascii="宋体" w:hAnsi="宋体" w:cs="宋体"/>
                <w:spacing w:val="20"/>
                <w:szCs w:val="16"/>
              </w:rPr>
            </w:pPr>
            <w:r>
              <w:rPr>
                <w:rFonts w:hint="eastAsia" w:ascii="宋体" w:hAnsi="宋体" w:eastAsia="宋体" w:cs="宋体"/>
              </w:rPr>
              <w:t>1</w:t>
            </w:r>
          </w:p>
        </w:tc>
        <w:tc>
          <w:tcPr>
            <w:tcW w:w="1837" w:type="dxa"/>
            <w:noWrap w:val="0"/>
            <w:vAlign w:val="center"/>
          </w:tcPr>
          <w:p w14:paraId="35B7DD7D">
            <w:pPr>
              <w:pageBreakBefore w:val="0"/>
              <w:kinsoku/>
              <w:overflowPunct/>
              <w:topLinePunct w:val="0"/>
              <w:bidi w:val="0"/>
              <w:spacing w:line="360" w:lineRule="auto"/>
              <w:jc w:val="center"/>
              <w:textAlignment w:val="auto"/>
              <w:outlineLvl w:val="9"/>
              <w:rPr>
                <w:rFonts w:hint="eastAsia" w:ascii="Times New Roman" w:hAnsi="Times New Roman" w:eastAsia="宋体" w:cs="Times New Roman"/>
              </w:rPr>
            </w:pPr>
            <w:r>
              <w:rPr>
                <w:rFonts w:hint="eastAsia" w:ascii="Times New Roman" w:hAnsi="Times New Roman" w:eastAsia="宋体" w:cs="Times New Roman"/>
              </w:rPr>
              <w:t>总监理工程师</w:t>
            </w:r>
          </w:p>
        </w:tc>
        <w:tc>
          <w:tcPr>
            <w:tcW w:w="5340" w:type="dxa"/>
            <w:noWrap w:val="0"/>
            <w:vAlign w:val="center"/>
          </w:tcPr>
          <w:p w14:paraId="611B0D07">
            <w:pPr>
              <w:pageBreakBefore w:val="0"/>
              <w:kinsoku/>
              <w:overflowPunct/>
              <w:topLinePunct w:val="0"/>
              <w:bidi w:val="0"/>
              <w:spacing w:line="360" w:lineRule="auto"/>
              <w:jc w:val="left"/>
              <w:textAlignment w:val="auto"/>
              <w:outlineLvl w:val="9"/>
              <w:rPr>
                <w:rFonts w:hint="eastAsia" w:ascii="Times New Roman" w:hAnsi="Times New Roman" w:eastAsia="宋体" w:cs="Times New Roman"/>
                <w:highlight w:val="none"/>
              </w:rPr>
            </w:pPr>
            <w:r>
              <w:rPr>
                <w:rFonts w:hint="eastAsia" w:ascii="Times New Roman" w:hAnsi="Times New Roman" w:eastAsia="宋体" w:cs="Times New Roman"/>
                <w:highlight w:val="none"/>
              </w:rPr>
              <w:t>具有</w:t>
            </w:r>
            <w:r>
              <w:rPr>
                <w:rFonts w:hint="eastAsia" w:cs="Times New Roman"/>
                <w:b/>
                <w:bCs/>
                <w:highlight w:val="none"/>
                <w:lang w:val="en-US" w:eastAsia="zh-CN"/>
              </w:rPr>
              <w:t>房屋建筑</w:t>
            </w:r>
            <w:r>
              <w:rPr>
                <w:rFonts w:hint="eastAsia" w:ascii="Times New Roman" w:hAnsi="Times New Roman" w:eastAsia="宋体" w:cs="Times New Roman"/>
                <w:b/>
                <w:bCs/>
                <w:highlight w:val="none"/>
              </w:rPr>
              <w:t>工程</w:t>
            </w:r>
            <w:r>
              <w:rPr>
                <w:rFonts w:hint="eastAsia" w:cs="Times New Roman"/>
                <w:b/>
                <w:bCs/>
                <w:highlight w:val="none"/>
                <w:lang w:val="en-US" w:eastAsia="zh-CN"/>
              </w:rPr>
              <w:t>或机电安装工程</w:t>
            </w:r>
            <w:r>
              <w:rPr>
                <w:rFonts w:hint="eastAsia" w:ascii="Times New Roman" w:hAnsi="Times New Roman" w:eastAsia="宋体" w:cs="Times New Roman"/>
                <w:b/>
                <w:bCs/>
                <w:highlight w:val="none"/>
              </w:rPr>
              <w:t>专业</w:t>
            </w:r>
            <w:r>
              <w:rPr>
                <w:rFonts w:hint="eastAsia" w:ascii="Times New Roman" w:hAnsi="Times New Roman" w:eastAsia="宋体" w:cs="Times New Roman"/>
                <w:highlight w:val="none"/>
              </w:rPr>
              <w:t>国家监理工程师注册证书</w:t>
            </w:r>
          </w:p>
        </w:tc>
        <w:tc>
          <w:tcPr>
            <w:tcW w:w="765" w:type="dxa"/>
            <w:noWrap w:val="0"/>
            <w:vAlign w:val="center"/>
          </w:tcPr>
          <w:p w14:paraId="436484E5">
            <w:pPr>
              <w:pageBreakBefore w:val="0"/>
              <w:kinsoku/>
              <w:overflowPunct/>
              <w:topLinePunct w:val="0"/>
              <w:bidi w:val="0"/>
              <w:spacing w:before="120" w:beforeLines="50" w:after="120" w:afterLines="50"/>
              <w:jc w:val="center"/>
              <w:textAlignment w:val="auto"/>
              <w:outlineLvl w:val="9"/>
              <w:rPr>
                <w:rFonts w:hint="eastAsia" w:ascii="宋体" w:hAnsi="宋体" w:cs="宋体"/>
                <w:b/>
                <w:spacing w:val="20"/>
                <w:szCs w:val="16"/>
                <w:highlight w:val="none"/>
              </w:rPr>
            </w:pPr>
            <w:r>
              <w:rPr>
                <w:rFonts w:hint="eastAsia" w:ascii="宋体" w:hAnsi="宋体" w:eastAsia="宋体" w:cs="宋体"/>
                <w:highlight w:val="none"/>
              </w:rPr>
              <w:t>1</w:t>
            </w:r>
            <w:r>
              <w:rPr>
                <w:rFonts w:hint="eastAsia"/>
                <w:highlight w:val="none"/>
              </w:rPr>
              <w:t>人</w:t>
            </w:r>
          </w:p>
        </w:tc>
        <w:tc>
          <w:tcPr>
            <w:tcW w:w="1519" w:type="dxa"/>
            <w:noWrap w:val="0"/>
            <w:vAlign w:val="center"/>
          </w:tcPr>
          <w:p w14:paraId="019AAAC6">
            <w:pPr>
              <w:pageBreakBefore w:val="0"/>
              <w:kinsoku/>
              <w:overflowPunct/>
              <w:topLinePunct w:val="0"/>
              <w:bidi w:val="0"/>
              <w:spacing w:before="120" w:beforeLines="50" w:after="120" w:afterLines="50"/>
              <w:jc w:val="center"/>
              <w:textAlignment w:val="auto"/>
              <w:outlineLvl w:val="9"/>
              <w:rPr>
                <w:rFonts w:hint="default" w:ascii="宋体" w:hAnsi="宋体" w:eastAsia="宋体" w:cs="宋体"/>
                <w:szCs w:val="21"/>
                <w:highlight w:val="none"/>
                <w:lang w:val="en-US" w:eastAsia="zh-CN"/>
              </w:rPr>
            </w:pPr>
          </w:p>
        </w:tc>
      </w:tr>
      <w:tr w14:paraId="5050B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exact"/>
        </w:trPr>
        <w:tc>
          <w:tcPr>
            <w:tcW w:w="700" w:type="dxa"/>
            <w:noWrap w:val="0"/>
            <w:vAlign w:val="center"/>
          </w:tcPr>
          <w:p w14:paraId="67E3D9ED">
            <w:pPr>
              <w:pageBreakBefore w:val="0"/>
              <w:kinsoku/>
              <w:overflowPunct/>
              <w:topLinePunct w:val="0"/>
              <w:bidi w:val="0"/>
              <w:spacing w:line="360" w:lineRule="auto"/>
              <w:jc w:val="center"/>
              <w:textAlignment w:val="auto"/>
              <w:outlineLvl w:val="9"/>
              <w:rPr>
                <w:rFonts w:hint="eastAsia" w:ascii="宋体" w:hAnsi="宋体" w:cs="宋体"/>
                <w:spacing w:val="20"/>
                <w:szCs w:val="16"/>
              </w:rPr>
            </w:pPr>
            <w:r>
              <w:rPr>
                <w:rFonts w:hint="eastAsia" w:ascii="宋体" w:hAnsi="宋体" w:cs="宋体"/>
                <w:spacing w:val="20"/>
                <w:szCs w:val="16"/>
              </w:rPr>
              <w:t>2</w:t>
            </w:r>
          </w:p>
        </w:tc>
        <w:tc>
          <w:tcPr>
            <w:tcW w:w="1837" w:type="dxa"/>
            <w:noWrap w:val="0"/>
            <w:vAlign w:val="center"/>
          </w:tcPr>
          <w:p w14:paraId="6591A0FB">
            <w:pPr>
              <w:pageBreakBefore w:val="0"/>
              <w:kinsoku/>
              <w:overflowPunct/>
              <w:topLinePunct w:val="0"/>
              <w:bidi w:val="0"/>
              <w:spacing w:line="360" w:lineRule="auto"/>
              <w:jc w:val="center"/>
              <w:textAlignment w:val="auto"/>
              <w:outlineLvl w:val="9"/>
              <w:rPr>
                <w:rFonts w:hint="eastAsia" w:ascii="Times New Roman" w:hAnsi="Times New Roman" w:eastAsia="宋体" w:cs="Times New Roman"/>
              </w:rPr>
            </w:pPr>
            <w:r>
              <w:rPr>
                <w:rFonts w:hint="eastAsia" w:ascii="Times New Roman" w:hAnsi="Times New Roman" w:eastAsia="宋体" w:cs="Times New Roman"/>
              </w:rPr>
              <w:t>专业监理工程师</w:t>
            </w:r>
          </w:p>
        </w:tc>
        <w:tc>
          <w:tcPr>
            <w:tcW w:w="5340" w:type="dxa"/>
            <w:noWrap w:val="0"/>
            <w:vAlign w:val="center"/>
          </w:tcPr>
          <w:p w14:paraId="22039AF8">
            <w:pPr>
              <w:pageBreakBefore w:val="0"/>
              <w:kinsoku/>
              <w:overflowPunct/>
              <w:topLinePunct w:val="0"/>
              <w:bidi w:val="0"/>
              <w:spacing w:line="360" w:lineRule="auto"/>
              <w:jc w:val="left"/>
              <w:textAlignment w:val="auto"/>
              <w:outlineLvl w:val="9"/>
              <w:rPr>
                <w:rFonts w:hint="eastAsia" w:ascii="Times New Roman" w:hAnsi="Times New Roman" w:eastAsia="宋体" w:cs="Times New Roman"/>
                <w:highlight w:val="none"/>
              </w:rPr>
            </w:pPr>
            <w:r>
              <w:rPr>
                <w:rFonts w:hint="eastAsia" w:ascii="Times New Roman" w:hAnsi="Times New Roman" w:eastAsia="宋体" w:cs="Times New Roman"/>
                <w:highlight w:val="none"/>
              </w:rPr>
              <w:t>具有</w:t>
            </w:r>
            <w:r>
              <w:rPr>
                <w:rFonts w:hint="eastAsia" w:cs="Times New Roman"/>
                <w:b/>
                <w:bCs/>
                <w:highlight w:val="none"/>
                <w:lang w:val="en-US" w:eastAsia="zh-CN"/>
              </w:rPr>
              <w:t>房屋建筑</w:t>
            </w:r>
            <w:r>
              <w:rPr>
                <w:rFonts w:hint="eastAsia" w:ascii="Times New Roman" w:hAnsi="Times New Roman" w:eastAsia="宋体" w:cs="Times New Roman"/>
                <w:b/>
                <w:bCs/>
                <w:highlight w:val="none"/>
              </w:rPr>
              <w:t>工程</w:t>
            </w:r>
            <w:r>
              <w:rPr>
                <w:rFonts w:hint="eastAsia" w:cs="Times New Roman"/>
                <w:b/>
                <w:bCs/>
                <w:highlight w:val="none"/>
                <w:lang w:val="en-US" w:eastAsia="zh-CN"/>
              </w:rPr>
              <w:t>或机电安装工程</w:t>
            </w:r>
            <w:r>
              <w:rPr>
                <w:rFonts w:hint="eastAsia" w:ascii="Times New Roman" w:hAnsi="Times New Roman" w:eastAsia="宋体" w:cs="Times New Roman"/>
                <w:b/>
                <w:bCs/>
                <w:highlight w:val="none"/>
              </w:rPr>
              <w:t>专业</w:t>
            </w:r>
            <w:r>
              <w:rPr>
                <w:rFonts w:hint="eastAsia" w:ascii="Times New Roman" w:hAnsi="Times New Roman" w:eastAsia="宋体" w:cs="Times New Roman"/>
                <w:highlight w:val="none"/>
              </w:rPr>
              <w:t>国家监理工程师注册证书或省级住房和城乡建设主管部门(或各级住建部门、国务院有关部门认可的行业协会及部门)颁发的</w:t>
            </w:r>
            <w:r>
              <w:rPr>
                <w:rFonts w:hint="eastAsia" w:cs="Times New Roman"/>
                <w:b/>
                <w:bCs/>
                <w:highlight w:val="none"/>
                <w:lang w:val="en-US" w:eastAsia="zh-CN"/>
              </w:rPr>
              <w:t>房屋建筑</w:t>
            </w:r>
            <w:r>
              <w:rPr>
                <w:rFonts w:hint="eastAsia" w:ascii="Times New Roman" w:hAnsi="Times New Roman" w:eastAsia="宋体" w:cs="Times New Roman"/>
                <w:b/>
                <w:bCs/>
                <w:highlight w:val="none"/>
              </w:rPr>
              <w:t>工程</w:t>
            </w:r>
            <w:r>
              <w:rPr>
                <w:rFonts w:hint="eastAsia" w:cs="Times New Roman"/>
                <w:b/>
                <w:bCs/>
                <w:highlight w:val="none"/>
                <w:lang w:val="en-US" w:eastAsia="zh-CN"/>
              </w:rPr>
              <w:t>或机电安装工程</w:t>
            </w:r>
            <w:r>
              <w:rPr>
                <w:rFonts w:hint="eastAsia" w:ascii="Times New Roman" w:hAnsi="Times New Roman" w:eastAsia="宋体" w:cs="Times New Roman"/>
                <w:b/>
                <w:bCs/>
                <w:highlight w:val="none"/>
              </w:rPr>
              <w:t>专业</w:t>
            </w:r>
            <w:r>
              <w:rPr>
                <w:rFonts w:hint="eastAsia" w:ascii="Times New Roman" w:hAnsi="Times New Roman" w:eastAsia="宋体" w:cs="Times New Roman"/>
                <w:highlight w:val="none"/>
              </w:rPr>
              <w:t>监理工程师岗位证书</w:t>
            </w:r>
          </w:p>
        </w:tc>
        <w:tc>
          <w:tcPr>
            <w:tcW w:w="765" w:type="dxa"/>
            <w:noWrap w:val="0"/>
            <w:vAlign w:val="center"/>
          </w:tcPr>
          <w:p w14:paraId="07472526">
            <w:pPr>
              <w:pageBreakBefore w:val="0"/>
              <w:kinsoku/>
              <w:overflowPunct/>
              <w:topLinePunct w:val="0"/>
              <w:bidi w:val="0"/>
              <w:spacing w:line="360" w:lineRule="auto"/>
              <w:jc w:val="center"/>
              <w:textAlignment w:val="auto"/>
              <w:outlineLvl w:val="9"/>
              <w:rPr>
                <w:rFonts w:hint="eastAsia" w:ascii="宋体" w:hAnsi="宋体" w:cs="宋体"/>
                <w:b/>
                <w:spacing w:val="20"/>
                <w:szCs w:val="16"/>
                <w:highlight w:val="none"/>
              </w:rPr>
            </w:pPr>
            <w:r>
              <w:rPr>
                <w:rFonts w:hint="eastAsia" w:ascii="宋体" w:hAnsi="宋体" w:cs="宋体"/>
                <w:szCs w:val="21"/>
                <w:highlight w:val="none"/>
                <w:lang w:val="en-US" w:eastAsia="zh-CN"/>
              </w:rPr>
              <w:t>2</w:t>
            </w:r>
            <w:r>
              <w:rPr>
                <w:rFonts w:hint="eastAsia" w:ascii="宋体" w:hAnsi="宋体" w:cs="宋体"/>
                <w:bCs/>
                <w:spacing w:val="20"/>
                <w:szCs w:val="16"/>
                <w:highlight w:val="none"/>
              </w:rPr>
              <w:t>人</w:t>
            </w:r>
          </w:p>
        </w:tc>
        <w:tc>
          <w:tcPr>
            <w:tcW w:w="1519" w:type="dxa"/>
            <w:noWrap w:val="0"/>
            <w:vAlign w:val="center"/>
          </w:tcPr>
          <w:p w14:paraId="1CFBD68C">
            <w:pPr>
              <w:pageBreakBefore w:val="0"/>
              <w:kinsoku/>
              <w:overflowPunct/>
              <w:topLinePunct w:val="0"/>
              <w:bidi w:val="0"/>
              <w:spacing w:line="360" w:lineRule="auto"/>
              <w:jc w:val="center"/>
              <w:textAlignment w:val="auto"/>
              <w:outlineLvl w:val="9"/>
              <w:rPr>
                <w:rFonts w:hint="default" w:ascii="宋体" w:hAnsi="宋体" w:eastAsia="宋体" w:cs="宋体"/>
                <w:szCs w:val="21"/>
                <w:highlight w:val="none"/>
                <w:lang w:val="en-US" w:eastAsia="zh-CN"/>
              </w:rPr>
            </w:pPr>
            <w:r>
              <w:rPr>
                <w:rFonts w:hint="eastAsia" w:ascii="宋体" w:hAnsi="宋体" w:cs="宋体"/>
                <w:b/>
                <w:bCs/>
                <w:szCs w:val="21"/>
                <w:highlight w:val="none"/>
                <w:lang w:val="en-US" w:eastAsia="zh-CN"/>
              </w:rPr>
              <w:t>拟任的专业监理工程师2人不得为同一专业</w:t>
            </w:r>
          </w:p>
        </w:tc>
      </w:tr>
      <w:tr w14:paraId="4DBD7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4" w:hRule="atLeast"/>
        </w:trPr>
        <w:tc>
          <w:tcPr>
            <w:tcW w:w="700" w:type="dxa"/>
            <w:noWrap w:val="0"/>
            <w:vAlign w:val="center"/>
          </w:tcPr>
          <w:p w14:paraId="3A2BC58D">
            <w:pPr>
              <w:pageBreakBefore w:val="0"/>
              <w:kinsoku/>
              <w:overflowPunct/>
              <w:topLinePunct w:val="0"/>
              <w:bidi w:val="0"/>
              <w:spacing w:line="360" w:lineRule="auto"/>
              <w:jc w:val="center"/>
              <w:textAlignment w:val="auto"/>
              <w:outlineLvl w:val="9"/>
              <w:rPr>
                <w:rFonts w:hint="eastAsia" w:ascii="宋体" w:hAnsi="宋体" w:cs="宋体"/>
                <w:spacing w:val="20"/>
                <w:szCs w:val="16"/>
              </w:rPr>
            </w:pPr>
            <w:r>
              <w:rPr>
                <w:rFonts w:hint="eastAsia" w:ascii="宋体" w:hAnsi="宋体" w:cs="宋体"/>
                <w:spacing w:val="20"/>
                <w:szCs w:val="16"/>
              </w:rPr>
              <w:t>3</w:t>
            </w:r>
          </w:p>
        </w:tc>
        <w:tc>
          <w:tcPr>
            <w:tcW w:w="1837" w:type="dxa"/>
            <w:noWrap w:val="0"/>
            <w:vAlign w:val="center"/>
          </w:tcPr>
          <w:p w14:paraId="6A5DFA7C">
            <w:pPr>
              <w:pageBreakBefore w:val="0"/>
              <w:kinsoku/>
              <w:overflowPunct/>
              <w:topLinePunct w:val="0"/>
              <w:bidi w:val="0"/>
              <w:spacing w:line="360" w:lineRule="auto"/>
              <w:jc w:val="center"/>
              <w:textAlignment w:val="auto"/>
              <w:outlineLvl w:val="9"/>
              <w:rPr>
                <w:rFonts w:hint="eastAsia" w:ascii="Times New Roman" w:hAnsi="Times New Roman" w:eastAsia="宋体" w:cs="Times New Roman"/>
              </w:rPr>
            </w:pPr>
            <w:r>
              <w:rPr>
                <w:rFonts w:hint="eastAsia" w:ascii="Times New Roman" w:hAnsi="Times New Roman" w:eastAsia="宋体" w:cs="Times New Roman"/>
              </w:rPr>
              <w:t>监理员</w:t>
            </w:r>
          </w:p>
        </w:tc>
        <w:tc>
          <w:tcPr>
            <w:tcW w:w="5340" w:type="dxa"/>
            <w:noWrap w:val="0"/>
            <w:vAlign w:val="center"/>
          </w:tcPr>
          <w:p w14:paraId="7F296306">
            <w:pPr>
              <w:pageBreakBefore w:val="0"/>
              <w:kinsoku/>
              <w:overflowPunct/>
              <w:topLinePunct w:val="0"/>
              <w:bidi w:val="0"/>
              <w:spacing w:line="360" w:lineRule="auto"/>
              <w:jc w:val="left"/>
              <w:textAlignment w:val="auto"/>
              <w:outlineLvl w:val="9"/>
              <w:rPr>
                <w:rFonts w:hint="eastAsia" w:ascii="Times New Roman" w:hAnsi="Times New Roman" w:eastAsia="宋体" w:cs="Times New Roman"/>
              </w:rPr>
            </w:pPr>
            <w:r>
              <w:rPr>
                <w:rFonts w:hint="eastAsia" w:ascii="Times New Roman" w:hAnsi="Times New Roman" w:eastAsia="宋体" w:cs="Times New Roman"/>
                <w:lang w:val="en-US" w:eastAsia="zh-CN"/>
              </w:rPr>
              <w:t>根据安徽省住房和城乡建设厅《关于调整招标投标活动中有关住房城乡建设</w:t>
            </w:r>
            <w:r>
              <w:rPr>
                <w:rFonts w:hint="eastAsia" w:ascii="宋体" w:hAnsi="宋体" w:eastAsia="宋体" w:cs="宋体"/>
                <w:lang w:val="en-US" w:eastAsia="zh-CN"/>
              </w:rPr>
              <w:t>领域现场专业人员证书要求的通知》（建市函〔2019〕1112号）要求，不再要求将住房城乡建设领域监理员持</w:t>
            </w:r>
            <w:r>
              <w:rPr>
                <w:rFonts w:hint="eastAsia" w:ascii="Times New Roman" w:hAnsi="Times New Roman" w:eastAsia="宋体" w:cs="Times New Roman"/>
                <w:lang w:val="en-US" w:eastAsia="zh-CN"/>
              </w:rPr>
              <w:t>证情况列入</w:t>
            </w:r>
            <w:r>
              <w:rPr>
                <w:rFonts w:hint="eastAsia" w:cs="Times New Roman"/>
                <w:lang w:val="en-US" w:eastAsia="zh-CN"/>
              </w:rPr>
              <w:t>招</w:t>
            </w:r>
            <w:r>
              <w:rPr>
                <w:rFonts w:hint="eastAsia" w:ascii="Times New Roman" w:hAnsi="Times New Roman" w:eastAsia="宋体" w:cs="Times New Roman"/>
                <w:lang w:val="en-US" w:eastAsia="zh-CN"/>
              </w:rPr>
              <w:t>标投标文件。成交人和采购人在签订合同时应按照不低于本表监理员配置的要求填写承包人主要人员表，并作为合同的附件之一。</w:t>
            </w:r>
          </w:p>
        </w:tc>
        <w:tc>
          <w:tcPr>
            <w:tcW w:w="765" w:type="dxa"/>
            <w:noWrap w:val="0"/>
            <w:vAlign w:val="center"/>
          </w:tcPr>
          <w:p w14:paraId="091BFCDE">
            <w:pPr>
              <w:pageBreakBefore w:val="0"/>
              <w:kinsoku/>
              <w:overflowPunct/>
              <w:topLinePunct w:val="0"/>
              <w:bidi w:val="0"/>
              <w:spacing w:line="360" w:lineRule="auto"/>
              <w:jc w:val="center"/>
              <w:textAlignment w:val="auto"/>
              <w:outlineLvl w:val="9"/>
              <w:rPr>
                <w:rFonts w:hint="eastAsia" w:ascii="宋体" w:hAnsi="宋体" w:cs="宋体"/>
                <w:spacing w:val="20"/>
                <w:szCs w:val="16"/>
              </w:rPr>
            </w:pPr>
            <w:r>
              <w:rPr>
                <w:rFonts w:hint="eastAsia" w:ascii="宋体" w:hAnsi="宋体" w:cs="宋体"/>
                <w:bCs/>
                <w:spacing w:val="20"/>
                <w:szCs w:val="16"/>
                <w:lang w:val="en-US" w:eastAsia="zh-CN"/>
              </w:rPr>
              <w:t>1</w:t>
            </w:r>
            <w:r>
              <w:rPr>
                <w:rFonts w:hint="eastAsia" w:ascii="宋体" w:hAnsi="宋体" w:cs="宋体"/>
                <w:bCs/>
                <w:spacing w:val="20"/>
                <w:szCs w:val="16"/>
              </w:rPr>
              <w:t>人</w:t>
            </w:r>
          </w:p>
        </w:tc>
        <w:tc>
          <w:tcPr>
            <w:tcW w:w="1519" w:type="dxa"/>
            <w:noWrap w:val="0"/>
            <w:vAlign w:val="center"/>
          </w:tcPr>
          <w:p w14:paraId="34DB60CF">
            <w:pPr>
              <w:pageBreakBefore w:val="0"/>
              <w:kinsoku/>
              <w:overflowPunct/>
              <w:topLinePunct w:val="0"/>
              <w:bidi w:val="0"/>
              <w:spacing w:line="360" w:lineRule="auto"/>
              <w:jc w:val="center"/>
              <w:textAlignment w:val="auto"/>
              <w:outlineLvl w:val="9"/>
              <w:rPr>
                <w:rFonts w:hint="eastAsia" w:ascii="宋体" w:hAnsi="宋体" w:cs="宋体"/>
                <w:bCs/>
                <w:spacing w:val="20"/>
                <w:szCs w:val="16"/>
              </w:rPr>
            </w:pPr>
          </w:p>
        </w:tc>
      </w:tr>
      <w:tr w14:paraId="54F4D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7877" w:type="dxa"/>
            <w:gridSpan w:val="3"/>
            <w:noWrap w:val="0"/>
            <w:vAlign w:val="center"/>
          </w:tcPr>
          <w:p w14:paraId="524D9D96">
            <w:pPr>
              <w:pageBreakBefore w:val="0"/>
              <w:kinsoku/>
              <w:overflowPunct/>
              <w:topLinePunct w:val="0"/>
              <w:bidi w:val="0"/>
              <w:spacing w:line="360" w:lineRule="auto"/>
              <w:jc w:val="center"/>
              <w:textAlignment w:val="auto"/>
              <w:outlineLvl w:val="9"/>
              <w:rPr>
                <w:rFonts w:hint="eastAsia" w:ascii="宋体" w:hAnsi="宋体" w:cs="宋体"/>
                <w:spacing w:val="20"/>
                <w:szCs w:val="16"/>
              </w:rPr>
            </w:pPr>
            <w:r>
              <w:rPr>
                <w:rFonts w:hint="eastAsia" w:ascii="宋体" w:hAnsi="宋体" w:cs="宋体"/>
                <w:spacing w:val="20"/>
                <w:szCs w:val="16"/>
              </w:rPr>
              <w:t>合计</w:t>
            </w:r>
          </w:p>
        </w:tc>
        <w:tc>
          <w:tcPr>
            <w:tcW w:w="2284" w:type="dxa"/>
            <w:gridSpan w:val="2"/>
            <w:noWrap w:val="0"/>
            <w:vAlign w:val="center"/>
          </w:tcPr>
          <w:p w14:paraId="46A02219">
            <w:pPr>
              <w:pageBreakBefore w:val="0"/>
              <w:kinsoku/>
              <w:overflowPunct/>
              <w:topLinePunct w:val="0"/>
              <w:bidi w:val="0"/>
              <w:spacing w:line="360" w:lineRule="auto"/>
              <w:jc w:val="center"/>
              <w:textAlignment w:val="auto"/>
              <w:outlineLvl w:val="9"/>
              <w:rPr>
                <w:rFonts w:hint="eastAsia" w:ascii="宋体" w:hAnsi="宋体" w:cs="宋体"/>
                <w:bCs/>
                <w:spacing w:val="20"/>
                <w:szCs w:val="16"/>
              </w:rPr>
            </w:pPr>
            <w:r>
              <w:rPr>
                <w:rFonts w:hint="eastAsia" w:ascii="宋体" w:hAnsi="宋体" w:cs="宋体"/>
                <w:bCs/>
                <w:spacing w:val="20"/>
                <w:szCs w:val="16"/>
                <w:lang w:val="en-US" w:eastAsia="zh-CN"/>
              </w:rPr>
              <w:t>4</w:t>
            </w:r>
            <w:r>
              <w:rPr>
                <w:rFonts w:hint="eastAsia" w:ascii="宋体" w:hAnsi="宋体" w:cs="宋体"/>
                <w:bCs/>
                <w:spacing w:val="20"/>
                <w:szCs w:val="16"/>
              </w:rPr>
              <w:t>人</w:t>
            </w:r>
          </w:p>
        </w:tc>
      </w:tr>
      <w:tr w14:paraId="6B9D2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0161" w:type="dxa"/>
            <w:gridSpan w:val="5"/>
            <w:noWrap w:val="0"/>
            <w:vAlign w:val="center"/>
          </w:tcPr>
          <w:p w14:paraId="25265C0B">
            <w:pPr>
              <w:pageBreakBefore w:val="0"/>
              <w:kinsoku/>
              <w:overflowPunct/>
              <w:topLinePunct w:val="0"/>
              <w:bidi w:val="0"/>
              <w:spacing w:line="360" w:lineRule="auto"/>
              <w:jc w:val="center"/>
              <w:textAlignment w:val="auto"/>
              <w:outlineLvl w:val="9"/>
              <w:rPr>
                <w:rFonts w:hint="eastAsia"/>
              </w:rPr>
            </w:pPr>
            <w:r>
              <w:rPr>
                <w:rFonts w:hint="eastAsia"/>
              </w:rPr>
              <w:t>人员配备通则：</w:t>
            </w:r>
          </w:p>
          <w:p w14:paraId="6032B86D">
            <w:pPr>
              <w:pageBreakBefore w:val="0"/>
              <w:tabs>
                <w:tab w:val="left" w:pos="8032"/>
              </w:tabs>
              <w:kinsoku/>
              <w:overflowPunct/>
              <w:topLinePunct w:val="0"/>
              <w:bidi w:val="0"/>
              <w:spacing w:line="360" w:lineRule="auto"/>
              <w:jc w:val="left"/>
              <w:textAlignment w:val="auto"/>
              <w:outlineLvl w:val="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z w:val="21"/>
                <w:szCs w:val="21"/>
              </w:rPr>
              <w:t>1.</w:t>
            </w:r>
            <w:r>
              <w:rPr>
                <w:rFonts w:hint="eastAsia"/>
              </w:rPr>
              <w:t>表中所列监理人员配额为</w:t>
            </w:r>
            <w:r>
              <w:rPr>
                <w:rFonts w:hint="eastAsia"/>
                <w:lang w:val="en-US" w:eastAsia="zh-CN"/>
              </w:rPr>
              <w:t>谈判</w:t>
            </w:r>
            <w:r>
              <w:rPr>
                <w:rFonts w:hint="eastAsia"/>
              </w:rPr>
              <w:t>时须提供的</w:t>
            </w:r>
            <w:r>
              <w:rPr>
                <w:rFonts w:hint="eastAsia" w:asciiTheme="minorEastAsia" w:hAnsiTheme="minorEastAsia" w:eastAsiaTheme="minorEastAsia" w:cstheme="minorEastAsia"/>
                <w:sz w:val="21"/>
                <w:szCs w:val="21"/>
              </w:rPr>
              <w:t>最低专业人数要求；施工过程中，</w:t>
            </w:r>
            <w:r>
              <w:rPr>
                <w:rFonts w:hint="eastAsia" w:asciiTheme="minorEastAsia" w:hAnsiTheme="minorEastAsia" w:eastAsiaTheme="minorEastAsia" w:cstheme="minorEastAsia"/>
                <w:sz w:val="21"/>
                <w:szCs w:val="21"/>
                <w:lang w:val="en-US" w:eastAsia="zh-CN"/>
              </w:rPr>
              <w:t>成交</w:t>
            </w:r>
            <w:r>
              <w:rPr>
                <w:rFonts w:hint="eastAsia" w:asciiTheme="minorEastAsia" w:hAnsiTheme="minorEastAsia" w:eastAsiaTheme="minorEastAsia" w:cstheme="minorEastAsia"/>
                <w:sz w:val="21"/>
                <w:szCs w:val="21"/>
              </w:rPr>
              <w:t>人项目监理机构关键岗位人员须符合住房城乡建设部及安徽省相关标准规定，配置满足工程项目监理工作进展需要人数，且应专业配套。</w:t>
            </w:r>
            <w:r>
              <w:rPr>
                <w:rFonts w:hint="eastAsia" w:asciiTheme="minorEastAsia" w:hAnsiTheme="minorEastAsia" w:eastAsiaTheme="minorEastAsia" w:cstheme="minorEastAsia"/>
                <w:b/>
                <w:bCs/>
                <w:sz w:val="21"/>
                <w:szCs w:val="21"/>
              </w:rPr>
              <w:t>须在</w:t>
            </w:r>
            <w:r>
              <w:rPr>
                <w:rFonts w:hint="eastAsia" w:asciiTheme="minorEastAsia" w:hAnsiTheme="minorEastAsia" w:eastAsiaTheme="minorEastAsia" w:cstheme="minorEastAsia"/>
                <w:b/>
                <w:bCs/>
                <w:sz w:val="21"/>
                <w:szCs w:val="21"/>
                <w:lang w:val="en-US" w:eastAsia="zh-CN"/>
              </w:rPr>
              <w:t>响应</w:t>
            </w:r>
            <w:r>
              <w:rPr>
                <w:rFonts w:hint="eastAsia" w:asciiTheme="minorEastAsia" w:hAnsiTheme="minorEastAsia" w:eastAsiaTheme="minorEastAsia" w:cstheme="minorEastAsia"/>
                <w:b/>
                <w:bCs/>
                <w:sz w:val="21"/>
                <w:szCs w:val="21"/>
              </w:rPr>
              <w:t>文件中提供</w:t>
            </w:r>
            <w:r>
              <w:rPr>
                <w:rFonts w:hint="eastAsia" w:asciiTheme="minorEastAsia" w:hAnsiTheme="minorEastAsia" w:eastAsiaTheme="minorEastAsia" w:cstheme="minorEastAsia"/>
                <w:b/>
                <w:bCs/>
                <w:sz w:val="21"/>
                <w:szCs w:val="21"/>
                <w:lang w:val="en-US" w:eastAsia="zh-CN"/>
              </w:rPr>
              <w:t>谈判响应</w:t>
            </w:r>
            <w:r>
              <w:rPr>
                <w:rFonts w:hint="eastAsia" w:asciiTheme="minorEastAsia" w:hAnsiTheme="minorEastAsia" w:eastAsiaTheme="minorEastAsia" w:cstheme="minorEastAsia"/>
                <w:b/>
                <w:bCs/>
                <w:sz w:val="21"/>
                <w:szCs w:val="21"/>
              </w:rPr>
              <w:t>人（或</w:t>
            </w:r>
            <w:r>
              <w:rPr>
                <w:rFonts w:hint="eastAsia" w:asciiTheme="minorEastAsia" w:hAnsiTheme="minorEastAsia" w:eastAsiaTheme="minorEastAsia" w:cstheme="minorEastAsia"/>
                <w:b/>
                <w:bCs/>
                <w:sz w:val="21"/>
                <w:szCs w:val="21"/>
                <w:lang w:val="en-US" w:eastAsia="zh-CN"/>
              </w:rPr>
              <w:t>谈判响应</w:t>
            </w:r>
            <w:r>
              <w:rPr>
                <w:rFonts w:hint="eastAsia" w:asciiTheme="minorEastAsia" w:hAnsiTheme="minorEastAsia" w:eastAsiaTheme="minorEastAsia" w:cstheme="minorEastAsia"/>
                <w:b/>
                <w:bCs/>
                <w:sz w:val="21"/>
                <w:szCs w:val="21"/>
              </w:rPr>
              <w:t>人不具备独立法人资格的分支机构）为总监理工程师和专业监理工程师缴纳的社保证明（至少含养老保险），人员须为投标单位自有人员，缴纳时间为自开标之日前半年内连续三个月（如投标人为新成立不足三个月的企业，可提供自成立至今）</w:t>
            </w:r>
            <w:r>
              <w:rPr>
                <w:rFonts w:hint="eastAsia" w:asciiTheme="minorEastAsia" w:hAnsiTheme="minorEastAsia" w:eastAsiaTheme="minorEastAsia" w:cstheme="minorEastAsia"/>
                <w:b/>
                <w:bCs/>
                <w:sz w:val="21"/>
                <w:szCs w:val="21"/>
                <w:lang w:eastAsia="zh-CN"/>
              </w:rPr>
              <w:t>。</w:t>
            </w:r>
          </w:p>
          <w:p w14:paraId="59579F6A">
            <w:pPr>
              <w:pageBreakBefore w:val="0"/>
              <w:tabs>
                <w:tab w:val="left" w:pos="8032"/>
              </w:tabs>
              <w:kinsoku/>
              <w:overflowPunct/>
              <w:topLinePunct w:val="0"/>
              <w:bidi w:val="0"/>
              <w:spacing w:line="360" w:lineRule="auto"/>
              <w:ind w:firstLine="422" w:firstLineChars="200"/>
              <w:jc w:val="left"/>
              <w:textAlignment w:val="auto"/>
              <w:outlineLvl w:val="9"/>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z w:val="21"/>
                <w:szCs w:val="21"/>
                <w:lang w:val="en-US" w:eastAsia="zh-CN"/>
              </w:rPr>
              <w:t>谈判响应</w:t>
            </w:r>
            <w:r>
              <w:rPr>
                <w:rFonts w:hint="eastAsia" w:asciiTheme="minorEastAsia" w:hAnsiTheme="minorEastAsia" w:eastAsiaTheme="minorEastAsia" w:cstheme="minorEastAsia"/>
                <w:b/>
                <w:bCs/>
                <w:sz w:val="21"/>
                <w:szCs w:val="21"/>
              </w:rPr>
              <w:t>人拟派项目总监理工程师、专业监理工程师为退休人员的，应符合国家法律法规关于从业人员执业年龄的规定，同时</w:t>
            </w:r>
            <w:r>
              <w:rPr>
                <w:rFonts w:hint="eastAsia" w:asciiTheme="minorEastAsia" w:hAnsiTheme="minorEastAsia" w:eastAsiaTheme="minorEastAsia" w:cstheme="minorEastAsia"/>
                <w:b/>
                <w:bCs/>
                <w:sz w:val="21"/>
                <w:szCs w:val="21"/>
                <w:lang w:val="en-US" w:eastAsia="zh-CN"/>
              </w:rPr>
              <w:t>响应</w:t>
            </w:r>
            <w:r>
              <w:rPr>
                <w:rFonts w:hint="eastAsia" w:asciiTheme="minorEastAsia" w:hAnsiTheme="minorEastAsia" w:eastAsiaTheme="minorEastAsia" w:cstheme="minorEastAsia"/>
                <w:b/>
                <w:bCs/>
                <w:sz w:val="21"/>
                <w:szCs w:val="21"/>
              </w:rPr>
              <w:t>文件中须提供拟派退休人员身份证、退休证及企业聘用合同（劳务合同），提交的注册执业证书中聘用企业名称必须与投标人企业名称一致</w:t>
            </w:r>
            <w:r>
              <w:rPr>
                <w:rFonts w:hint="eastAsia" w:asciiTheme="minorEastAsia" w:hAnsiTheme="minorEastAsia" w:eastAsiaTheme="minorEastAsia" w:cstheme="minorEastAsia"/>
                <w:b/>
                <w:bCs/>
                <w:sz w:val="21"/>
                <w:szCs w:val="21"/>
                <w:lang w:eastAsia="zh-CN"/>
              </w:rPr>
              <w:t>。</w:t>
            </w:r>
          </w:p>
          <w:p w14:paraId="715E583A">
            <w:pPr>
              <w:pageBreakBefore w:val="0"/>
              <w:tabs>
                <w:tab w:val="left" w:pos="8032"/>
              </w:tabs>
              <w:kinsoku/>
              <w:overflowPunct/>
              <w:topLinePunct w:val="0"/>
              <w:bidi w:val="0"/>
              <w:spacing w:line="360" w:lineRule="auto"/>
              <w:jc w:val="left"/>
              <w:textAlignment w:val="auto"/>
              <w:outlineLvl w:val="9"/>
              <w:rPr>
                <w:rFonts w:hint="default" w:eastAsiaTheme="minorEastAsia"/>
                <w:lang w:val="en-US" w:eastAsia="zh-CN"/>
              </w:rPr>
            </w:pPr>
            <w:r>
              <w:rPr>
                <w:rFonts w:hint="eastAsia" w:asciiTheme="minorEastAsia" w:hAnsiTheme="minorEastAsia" w:eastAsiaTheme="minorEastAsia" w:cstheme="minorEastAsia"/>
                <w:b/>
                <w:bCs/>
                <w:sz w:val="21"/>
                <w:szCs w:val="21"/>
              </w:rPr>
              <w:t>2.如监理工程师岗位证书未体现专业，则须提供毕业证书或职称证书或工程建设类注册资格证书证明。</w:t>
            </w:r>
          </w:p>
        </w:tc>
      </w:tr>
    </w:tbl>
    <w:p w14:paraId="18F2A7C3">
      <w:pPr>
        <w:pageBreakBefore w:val="0"/>
        <w:tabs>
          <w:tab w:val="left" w:pos="8032"/>
        </w:tabs>
        <w:kinsoku/>
        <w:overflowPunct/>
        <w:topLinePunct w:val="0"/>
        <w:bidi w:val="0"/>
        <w:spacing w:line="360" w:lineRule="auto"/>
        <w:ind w:firstLine="420" w:firstLineChars="200"/>
        <w:textAlignment w:val="auto"/>
        <w:outlineLvl w:val="9"/>
        <w:rPr>
          <w:rFonts w:hint="eastAsia" w:asciiTheme="minorEastAsia" w:hAnsiTheme="minorEastAsia" w:eastAsiaTheme="minorEastAsia" w:cstheme="minorEastAsia"/>
          <w:sz w:val="21"/>
          <w:szCs w:val="21"/>
        </w:rPr>
      </w:pPr>
      <w:r>
        <w:rPr>
          <w:rFonts w:hint="eastAsia" w:ascii="宋体" w:hAnsi="宋体" w:cs="宋体"/>
          <w:b w:val="0"/>
          <w:bCs/>
          <w:sz w:val="21"/>
          <w:szCs w:val="21"/>
        </w:rPr>
        <w:t>1</w:t>
      </w:r>
      <w:r>
        <w:rPr>
          <w:rFonts w:hint="eastAsia" w:ascii="宋体" w:hAnsi="宋体" w:cs="宋体"/>
          <w:b w:val="0"/>
          <w:bCs/>
          <w:sz w:val="21"/>
          <w:szCs w:val="21"/>
          <w:lang w:val="en-US" w:eastAsia="zh-CN"/>
        </w:rPr>
        <w:t>1</w:t>
      </w:r>
      <w:r>
        <w:rPr>
          <w:rFonts w:hint="eastAsia" w:ascii="宋体" w:hAnsi="宋体" w:cs="宋体"/>
          <w:b w:val="0"/>
          <w:bCs/>
          <w:sz w:val="21"/>
          <w:szCs w:val="21"/>
        </w:rPr>
        <w:t>.</w:t>
      </w:r>
      <w:r>
        <w:rPr>
          <w:rFonts w:hint="eastAsia" w:asciiTheme="minorEastAsia" w:hAnsiTheme="minorEastAsia" w:eastAsiaTheme="minorEastAsia" w:cstheme="minorEastAsia"/>
          <w:sz w:val="21"/>
          <w:szCs w:val="21"/>
        </w:rPr>
        <w:t>人员要求：</w:t>
      </w:r>
    </w:p>
    <w:p w14:paraId="1AC1BBD0">
      <w:pPr>
        <w:pageBreakBefore w:val="0"/>
        <w:tabs>
          <w:tab w:val="left" w:pos="8032"/>
        </w:tabs>
        <w:kinsoku/>
        <w:overflowPunct/>
        <w:topLinePunct w:val="0"/>
        <w:bidi w:val="0"/>
        <w:spacing w:line="360" w:lineRule="auto"/>
        <w:ind w:firstLine="420" w:firstLineChars="2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成交</w:t>
      </w:r>
      <w:r>
        <w:rPr>
          <w:rFonts w:hint="eastAsia" w:asciiTheme="minorEastAsia" w:hAnsiTheme="minorEastAsia" w:eastAsiaTheme="minorEastAsia" w:cstheme="minorEastAsia"/>
          <w:sz w:val="21"/>
          <w:szCs w:val="21"/>
        </w:rPr>
        <w:t>人按</w:t>
      </w:r>
      <w:r>
        <w:rPr>
          <w:rFonts w:hint="eastAsia" w:asciiTheme="minorEastAsia" w:hAnsiTheme="minorEastAsia" w:eastAsiaTheme="minorEastAsia" w:cstheme="minorEastAsia"/>
          <w:sz w:val="21"/>
          <w:szCs w:val="21"/>
          <w:lang w:val="en-US" w:eastAsia="zh-CN"/>
        </w:rPr>
        <w:t>谈判</w:t>
      </w:r>
      <w:r>
        <w:rPr>
          <w:rFonts w:hint="eastAsia" w:asciiTheme="minorEastAsia" w:hAnsiTheme="minorEastAsia" w:eastAsiaTheme="minorEastAsia" w:cstheme="minorEastAsia"/>
          <w:sz w:val="21"/>
          <w:szCs w:val="21"/>
        </w:rPr>
        <w:t>文件确定的人员、合同约定派出监理工作需要的监理机构人员，向采购人报送委派的总监理工程师及监理机构主要成员名单、监理规划，完成监理合同专用条件中约定的监理范围内监理业务。在履行合同约定期间定期向委托人报告监理工作。</w:t>
      </w:r>
    </w:p>
    <w:p w14:paraId="01BE44FC">
      <w:pPr>
        <w:pageBreakBefore w:val="0"/>
        <w:tabs>
          <w:tab w:val="left" w:pos="8032"/>
        </w:tabs>
        <w:kinsoku/>
        <w:overflowPunct/>
        <w:topLinePunct w:val="0"/>
        <w:bidi w:val="0"/>
        <w:spacing w:line="360" w:lineRule="auto"/>
        <w:ind w:firstLine="420" w:firstLineChars="2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成交</w:t>
      </w:r>
      <w:r>
        <w:rPr>
          <w:rFonts w:hint="eastAsia" w:asciiTheme="minorEastAsia" w:hAnsiTheme="minorEastAsia" w:eastAsiaTheme="minorEastAsia" w:cstheme="minorEastAsia"/>
          <w:sz w:val="21"/>
          <w:szCs w:val="21"/>
        </w:rPr>
        <w:t>人在履行本合同的义务期间，应认真、勤奋地工作，为采购人提供与其水平相适应的咨询意见，公正维护各方面的合法权益。</w:t>
      </w:r>
    </w:p>
    <w:p w14:paraId="4A959301">
      <w:pPr>
        <w:pageBreakBefore w:val="0"/>
        <w:tabs>
          <w:tab w:val="left" w:pos="8032"/>
        </w:tabs>
        <w:kinsoku/>
        <w:overflowPunct/>
        <w:topLinePunct w:val="0"/>
        <w:bidi w:val="0"/>
        <w:spacing w:line="360" w:lineRule="auto"/>
        <w:ind w:firstLine="420" w:firstLineChars="2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（3）在项目实施过程中，</w:t>
      </w:r>
      <w:r>
        <w:rPr>
          <w:rFonts w:hint="eastAsia" w:asciiTheme="minorEastAsia" w:hAnsiTheme="minorEastAsia" w:eastAsiaTheme="minorEastAsia" w:cstheme="minorEastAsia"/>
          <w:sz w:val="21"/>
          <w:szCs w:val="21"/>
          <w:lang w:val="en-US" w:eastAsia="zh-CN"/>
        </w:rPr>
        <w:t>成交</w:t>
      </w:r>
      <w:r>
        <w:rPr>
          <w:rFonts w:hint="eastAsia" w:asciiTheme="minorEastAsia" w:hAnsiTheme="minorEastAsia" w:eastAsiaTheme="minorEastAsia" w:cstheme="minorEastAsia"/>
          <w:sz w:val="21"/>
          <w:szCs w:val="21"/>
        </w:rPr>
        <w:t>人必须按</w:t>
      </w:r>
      <w:r>
        <w:rPr>
          <w:rFonts w:hint="eastAsia" w:asciiTheme="minorEastAsia" w:hAnsiTheme="minorEastAsia" w:eastAsiaTheme="minorEastAsia" w:cstheme="minorEastAsia"/>
          <w:sz w:val="21"/>
          <w:szCs w:val="21"/>
          <w:lang w:val="en-US" w:eastAsia="zh-CN"/>
        </w:rPr>
        <w:t>谈判</w:t>
      </w:r>
      <w:r>
        <w:rPr>
          <w:rFonts w:hint="eastAsia" w:asciiTheme="minorEastAsia" w:hAnsiTheme="minorEastAsia" w:eastAsiaTheme="minorEastAsia" w:cstheme="minorEastAsia"/>
          <w:sz w:val="21"/>
          <w:szCs w:val="21"/>
        </w:rPr>
        <w:t>时承诺配备的人员及时到位。未经采购人同意，</w:t>
      </w:r>
      <w:r>
        <w:rPr>
          <w:rFonts w:hint="eastAsia" w:asciiTheme="minorEastAsia" w:hAnsiTheme="minorEastAsia" w:eastAsiaTheme="minorEastAsia" w:cstheme="minorEastAsia"/>
          <w:sz w:val="21"/>
          <w:szCs w:val="21"/>
          <w:lang w:val="en-US" w:eastAsia="zh-CN"/>
        </w:rPr>
        <w:t>成交</w:t>
      </w:r>
      <w:r>
        <w:rPr>
          <w:rFonts w:hint="eastAsia" w:asciiTheme="minorEastAsia" w:hAnsiTheme="minorEastAsia" w:eastAsiaTheme="minorEastAsia" w:cstheme="minorEastAsia"/>
          <w:sz w:val="21"/>
          <w:szCs w:val="21"/>
        </w:rPr>
        <w:t>人不得擅自更换或者减少上述人员。根据现场施工情况，保证</w:t>
      </w:r>
      <w:r>
        <w:rPr>
          <w:rFonts w:hint="eastAsia" w:asciiTheme="minorEastAsia" w:hAnsiTheme="minorEastAsia" w:eastAsiaTheme="minorEastAsia" w:cstheme="minorEastAsia"/>
          <w:sz w:val="21"/>
          <w:szCs w:val="21"/>
          <w:lang w:val="en-US" w:eastAsia="zh-CN"/>
        </w:rPr>
        <w:t>成交</w:t>
      </w:r>
      <w:r>
        <w:rPr>
          <w:rFonts w:hint="eastAsia" w:asciiTheme="minorEastAsia" w:hAnsiTheme="minorEastAsia" w:eastAsiaTheme="minorEastAsia" w:cstheme="minorEastAsia"/>
          <w:sz w:val="21"/>
          <w:szCs w:val="21"/>
        </w:rPr>
        <w:t>人员每天到场数量，采购人有权根据监理现场人员到位情况，要求其增加专业人员，成交人必须服从，否则，视同</w:t>
      </w:r>
      <w:r>
        <w:rPr>
          <w:rFonts w:hint="eastAsia" w:asciiTheme="minorEastAsia" w:hAnsiTheme="minorEastAsia" w:eastAsiaTheme="minorEastAsia" w:cstheme="minorEastAsia"/>
          <w:sz w:val="21"/>
          <w:szCs w:val="21"/>
          <w:lang w:val="en-US" w:eastAsia="zh-CN"/>
        </w:rPr>
        <w:t>成交</w:t>
      </w:r>
      <w:r>
        <w:rPr>
          <w:rFonts w:hint="eastAsia" w:asciiTheme="minorEastAsia" w:hAnsiTheme="minorEastAsia" w:eastAsiaTheme="minorEastAsia" w:cstheme="minorEastAsia"/>
          <w:sz w:val="21"/>
          <w:szCs w:val="21"/>
        </w:rPr>
        <w:t>人违约，采购人有权终止合同履行。</w:t>
      </w:r>
    </w:p>
    <w:p w14:paraId="53963EE4">
      <w:pPr>
        <w:pageBreakBefore w:val="0"/>
        <w:tabs>
          <w:tab w:val="left" w:pos="8032"/>
        </w:tabs>
        <w:kinsoku/>
        <w:overflowPunct/>
        <w:topLinePunct w:val="0"/>
        <w:bidi w:val="0"/>
        <w:spacing w:line="360" w:lineRule="auto"/>
        <w:ind w:firstLine="420" w:firstLineChars="2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（4）因监理原因造成工程质量缺陷、进度滞后、工期延误，给采购人造成损失的，采购人有权在监理合同价款中扣除相关损失费用。</w:t>
      </w:r>
    </w:p>
    <w:p w14:paraId="2F9FE2B8">
      <w:pPr>
        <w:pageBreakBefore w:val="0"/>
        <w:kinsoku/>
        <w:overflowPunct/>
        <w:topLinePunct w:val="0"/>
        <w:bidi w:val="0"/>
        <w:spacing w:line="360" w:lineRule="auto"/>
        <w:ind w:firstLine="422" w:firstLineChars="200"/>
        <w:textAlignment w:val="auto"/>
        <w:outlineLvl w:val="9"/>
        <w:rPr>
          <w:rFonts w:hint="eastAsia" w:ascii="宋体" w:hAnsi="宋体" w:cs="宋体"/>
          <w:b/>
          <w:sz w:val="21"/>
          <w:szCs w:val="21"/>
        </w:rPr>
      </w:pPr>
      <w:r>
        <w:rPr>
          <w:rFonts w:hint="eastAsia" w:ascii="宋体" w:hAnsi="宋体" w:cs="宋体"/>
          <w:b/>
          <w:sz w:val="21"/>
          <w:szCs w:val="21"/>
          <w:lang w:val="en-US" w:eastAsia="zh-CN"/>
        </w:rPr>
        <w:t>12.</w:t>
      </w:r>
      <w:r>
        <w:rPr>
          <w:rFonts w:hint="eastAsia" w:ascii="宋体" w:hAnsi="宋体" w:cs="宋体"/>
          <w:b/>
          <w:sz w:val="21"/>
          <w:szCs w:val="21"/>
        </w:rPr>
        <w:t>对办公设备及检测设备的配备要求（可选）</w:t>
      </w:r>
    </w:p>
    <w:p w14:paraId="1DD7E3C1">
      <w:pPr>
        <w:pageBreakBefore w:val="0"/>
        <w:kinsoku/>
        <w:overflowPunct/>
        <w:topLinePunct w:val="0"/>
        <w:bidi w:val="0"/>
        <w:jc w:val="center"/>
        <w:textAlignment w:val="auto"/>
        <w:outlineLvl w:val="9"/>
        <w:rPr>
          <w:rFonts w:hint="eastAsia" w:ascii="宋体" w:hAnsi="宋体" w:cs="宋体"/>
          <w:sz w:val="21"/>
          <w:szCs w:val="21"/>
        </w:rPr>
      </w:pPr>
      <w:r>
        <w:rPr>
          <w:rFonts w:hint="eastAsia" w:ascii="宋体" w:hAnsi="宋体" w:cs="宋体"/>
          <w:b/>
          <w:bCs/>
          <w:sz w:val="21"/>
          <w:szCs w:val="21"/>
        </w:rPr>
        <w:t xml:space="preserve">  办公用品一览表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3261"/>
        <w:gridCol w:w="1578"/>
        <w:gridCol w:w="2840"/>
      </w:tblGrid>
      <w:tr w14:paraId="400E7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834" w:type="dxa"/>
            <w:noWrap w:val="0"/>
            <w:vAlign w:val="top"/>
          </w:tcPr>
          <w:p w14:paraId="28F54CEE">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序号</w:t>
            </w:r>
          </w:p>
        </w:tc>
        <w:tc>
          <w:tcPr>
            <w:tcW w:w="3261" w:type="dxa"/>
            <w:noWrap w:val="0"/>
            <w:vAlign w:val="top"/>
          </w:tcPr>
          <w:p w14:paraId="4819518E">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名 称（规格、型号）</w:t>
            </w:r>
          </w:p>
        </w:tc>
        <w:tc>
          <w:tcPr>
            <w:tcW w:w="1578" w:type="dxa"/>
            <w:noWrap w:val="0"/>
            <w:vAlign w:val="top"/>
          </w:tcPr>
          <w:p w14:paraId="0C0860B8">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数 量</w:t>
            </w:r>
          </w:p>
        </w:tc>
        <w:tc>
          <w:tcPr>
            <w:tcW w:w="2840" w:type="dxa"/>
            <w:noWrap w:val="0"/>
            <w:vAlign w:val="top"/>
          </w:tcPr>
          <w:p w14:paraId="0B604218">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备 注</w:t>
            </w:r>
          </w:p>
        </w:tc>
      </w:tr>
      <w:tr w14:paraId="6A5B5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834" w:type="dxa"/>
            <w:noWrap w:val="0"/>
            <w:vAlign w:val="top"/>
          </w:tcPr>
          <w:p w14:paraId="5F8C94C3">
            <w:pPr>
              <w:pageBreakBefore w:val="0"/>
              <w:kinsoku/>
              <w:overflowPunct/>
              <w:topLinePunct w:val="0"/>
              <w:bidi w:val="0"/>
              <w:textAlignment w:val="auto"/>
              <w:outlineLvl w:val="9"/>
              <w:rPr>
                <w:rFonts w:hint="eastAsia" w:ascii="宋体" w:hAnsi="宋体" w:cs="宋体"/>
                <w:sz w:val="21"/>
                <w:szCs w:val="21"/>
              </w:rPr>
            </w:pPr>
          </w:p>
        </w:tc>
        <w:tc>
          <w:tcPr>
            <w:tcW w:w="3261" w:type="dxa"/>
            <w:noWrap w:val="0"/>
            <w:vAlign w:val="top"/>
          </w:tcPr>
          <w:p w14:paraId="0335EDEC">
            <w:pPr>
              <w:pageBreakBefore w:val="0"/>
              <w:kinsoku/>
              <w:overflowPunct/>
              <w:topLinePunct w:val="0"/>
              <w:bidi w:val="0"/>
              <w:textAlignment w:val="auto"/>
              <w:outlineLvl w:val="9"/>
              <w:rPr>
                <w:rFonts w:hint="eastAsia" w:ascii="宋体" w:hAnsi="宋体" w:cs="宋体"/>
                <w:sz w:val="21"/>
                <w:szCs w:val="21"/>
              </w:rPr>
            </w:pPr>
          </w:p>
        </w:tc>
        <w:tc>
          <w:tcPr>
            <w:tcW w:w="1578" w:type="dxa"/>
            <w:noWrap w:val="0"/>
            <w:vAlign w:val="top"/>
          </w:tcPr>
          <w:p w14:paraId="1D869B7F">
            <w:pPr>
              <w:pageBreakBefore w:val="0"/>
              <w:kinsoku/>
              <w:overflowPunct/>
              <w:topLinePunct w:val="0"/>
              <w:bidi w:val="0"/>
              <w:textAlignment w:val="auto"/>
              <w:outlineLvl w:val="9"/>
              <w:rPr>
                <w:rFonts w:hint="eastAsia" w:ascii="宋体" w:hAnsi="宋体" w:cs="宋体"/>
                <w:sz w:val="21"/>
                <w:szCs w:val="21"/>
              </w:rPr>
            </w:pPr>
          </w:p>
        </w:tc>
        <w:tc>
          <w:tcPr>
            <w:tcW w:w="2840" w:type="dxa"/>
            <w:noWrap w:val="0"/>
            <w:vAlign w:val="top"/>
          </w:tcPr>
          <w:p w14:paraId="54DBF935">
            <w:pPr>
              <w:pageBreakBefore w:val="0"/>
              <w:kinsoku/>
              <w:overflowPunct/>
              <w:topLinePunct w:val="0"/>
              <w:bidi w:val="0"/>
              <w:textAlignment w:val="auto"/>
              <w:outlineLvl w:val="9"/>
              <w:rPr>
                <w:rFonts w:hint="eastAsia" w:ascii="宋体" w:hAnsi="宋体" w:cs="宋体"/>
                <w:sz w:val="21"/>
                <w:szCs w:val="21"/>
              </w:rPr>
            </w:pPr>
          </w:p>
        </w:tc>
      </w:tr>
      <w:tr w14:paraId="1A0E2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834" w:type="dxa"/>
            <w:noWrap w:val="0"/>
            <w:vAlign w:val="top"/>
          </w:tcPr>
          <w:p w14:paraId="258E7F01">
            <w:pPr>
              <w:pageBreakBefore w:val="0"/>
              <w:kinsoku/>
              <w:overflowPunct/>
              <w:topLinePunct w:val="0"/>
              <w:bidi w:val="0"/>
              <w:textAlignment w:val="auto"/>
              <w:outlineLvl w:val="9"/>
              <w:rPr>
                <w:rFonts w:hint="eastAsia" w:ascii="宋体" w:hAnsi="宋体" w:cs="宋体"/>
                <w:sz w:val="21"/>
                <w:szCs w:val="21"/>
              </w:rPr>
            </w:pPr>
          </w:p>
        </w:tc>
        <w:tc>
          <w:tcPr>
            <w:tcW w:w="3261" w:type="dxa"/>
            <w:noWrap w:val="0"/>
            <w:vAlign w:val="top"/>
          </w:tcPr>
          <w:p w14:paraId="70132E06">
            <w:pPr>
              <w:pageBreakBefore w:val="0"/>
              <w:kinsoku/>
              <w:overflowPunct/>
              <w:topLinePunct w:val="0"/>
              <w:bidi w:val="0"/>
              <w:textAlignment w:val="auto"/>
              <w:outlineLvl w:val="9"/>
              <w:rPr>
                <w:rFonts w:hint="eastAsia" w:ascii="宋体" w:hAnsi="宋体" w:cs="宋体"/>
                <w:sz w:val="21"/>
                <w:szCs w:val="21"/>
              </w:rPr>
            </w:pPr>
          </w:p>
        </w:tc>
        <w:tc>
          <w:tcPr>
            <w:tcW w:w="1578" w:type="dxa"/>
            <w:noWrap w:val="0"/>
            <w:vAlign w:val="top"/>
          </w:tcPr>
          <w:p w14:paraId="51A70C19">
            <w:pPr>
              <w:pageBreakBefore w:val="0"/>
              <w:kinsoku/>
              <w:overflowPunct/>
              <w:topLinePunct w:val="0"/>
              <w:bidi w:val="0"/>
              <w:textAlignment w:val="auto"/>
              <w:outlineLvl w:val="9"/>
              <w:rPr>
                <w:rFonts w:hint="eastAsia" w:ascii="宋体" w:hAnsi="宋体" w:cs="宋体"/>
                <w:sz w:val="21"/>
                <w:szCs w:val="21"/>
              </w:rPr>
            </w:pPr>
          </w:p>
        </w:tc>
        <w:tc>
          <w:tcPr>
            <w:tcW w:w="2840" w:type="dxa"/>
            <w:noWrap w:val="0"/>
            <w:vAlign w:val="top"/>
          </w:tcPr>
          <w:p w14:paraId="103DB7FC">
            <w:pPr>
              <w:pageBreakBefore w:val="0"/>
              <w:kinsoku/>
              <w:overflowPunct/>
              <w:topLinePunct w:val="0"/>
              <w:bidi w:val="0"/>
              <w:textAlignment w:val="auto"/>
              <w:outlineLvl w:val="9"/>
              <w:rPr>
                <w:rFonts w:hint="eastAsia" w:ascii="宋体" w:hAnsi="宋体" w:cs="宋体"/>
                <w:sz w:val="21"/>
                <w:szCs w:val="21"/>
              </w:rPr>
            </w:pPr>
          </w:p>
        </w:tc>
      </w:tr>
      <w:tr w14:paraId="4B428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834" w:type="dxa"/>
            <w:noWrap w:val="0"/>
            <w:vAlign w:val="top"/>
          </w:tcPr>
          <w:p w14:paraId="2F990829">
            <w:pPr>
              <w:pageBreakBefore w:val="0"/>
              <w:kinsoku/>
              <w:overflowPunct/>
              <w:topLinePunct w:val="0"/>
              <w:bidi w:val="0"/>
              <w:textAlignment w:val="auto"/>
              <w:outlineLvl w:val="9"/>
              <w:rPr>
                <w:rFonts w:hint="eastAsia" w:ascii="宋体" w:hAnsi="宋体" w:cs="宋体"/>
                <w:sz w:val="21"/>
                <w:szCs w:val="21"/>
              </w:rPr>
            </w:pPr>
          </w:p>
        </w:tc>
        <w:tc>
          <w:tcPr>
            <w:tcW w:w="3261" w:type="dxa"/>
            <w:noWrap w:val="0"/>
            <w:vAlign w:val="top"/>
          </w:tcPr>
          <w:p w14:paraId="6D111FD7">
            <w:pPr>
              <w:pageBreakBefore w:val="0"/>
              <w:kinsoku/>
              <w:overflowPunct/>
              <w:topLinePunct w:val="0"/>
              <w:bidi w:val="0"/>
              <w:textAlignment w:val="auto"/>
              <w:outlineLvl w:val="9"/>
              <w:rPr>
                <w:rFonts w:hint="eastAsia" w:ascii="宋体" w:hAnsi="宋体" w:cs="宋体"/>
                <w:sz w:val="21"/>
                <w:szCs w:val="21"/>
              </w:rPr>
            </w:pPr>
          </w:p>
        </w:tc>
        <w:tc>
          <w:tcPr>
            <w:tcW w:w="1578" w:type="dxa"/>
            <w:noWrap w:val="0"/>
            <w:vAlign w:val="top"/>
          </w:tcPr>
          <w:p w14:paraId="364CD08A">
            <w:pPr>
              <w:pageBreakBefore w:val="0"/>
              <w:kinsoku/>
              <w:overflowPunct/>
              <w:topLinePunct w:val="0"/>
              <w:bidi w:val="0"/>
              <w:textAlignment w:val="auto"/>
              <w:outlineLvl w:val="9"/>
              <w:rPr>
                <w:rFonts w:hint="eastAsia" w:ascii="宋体" w:hAnsi="宋体" w:cs="宋体"/>
                <w:sz w:val="21"/>
                <w:szCs w:val="21"/>
              </w:rPr>
            </w:pPr>
          </w:p>
        </w:tc>
        <w:tc>
          <w:tcPr>
            <w:tcW w:w="2840" w:type="dxa"/>
            <w:noWrap w:val="0"/>
            <w:vAlign w:val="top"/>
          </w:tcPr>
          <w:p w14:paraId="47279CE4">
            <w:pPr>
              <w:pageBreakBefore w:val="0"/>
              <w:kinsoku/>
              <w:overflowPunct/>
              <w:topLinePunct w:val="0"/>
              <w:bidi w:val="0"/>
              <w:textAlignment w:val="auto"/>
              <w:outlineLvl w:val="9"/>
              <w:rPr>
                <w:rFonts w:hint="eastAsia" w:ascii="宋体" w:hAnsi="宋体" w:cs="宋体"/>
                <w:sz w:val="21"/>
                <w:szCs w:val="21"/>
              </w:rPr>
            </w:pPr>
          </w:p>
        </w:tc>
      </w:tr>
      <w:tr w14:paraId="6AD75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834" w:type="dxa"/>
            <w:noWrap w:val="0"/>
            <w:vAlign w:val="top"/>
          </w:tcPr>
          <w:p w14:paraId="500FA651">
            <w:pPr>
              <w:pageBreakBefore w:val="0"/>
              <w:kinsoku/>
              <w:overflowPunct/>
              <w:topLinePunct w:val="0"/>
              <w:bidi w:val="0"/>
              <w:textAlignment w:val="auto"/>
              <w:outlineLvl w:val="9"/>
              <w:rPr>
                <w:rFonts w:hint="eastAsia" w:ascii="宋体" w:hAnsi="宋体" w:cs="宋体"/>
                <w:sz w:val="21"/>
                <w:szCs w:val="21"/>
              </w:rPr>
            </w:pPr>
          </w:p>
        </w:tc>
        <w:tc>
          <w:tcPr>
            <w:tcW w:w="3261" w:type="dxa"/>
            <w:noWrap w:val="0"/>
            <w:vAlign w:val="top"/>
          </w:tcPr>
          <w:p w14:paraId="1E01B1BE">
            <w:pPr>
              <w:pageBreakBefore w:val="0"/>
              <w:kinsoku/>
              <w:overflowPunct/>
              <w:topLinePunct w:val="0"/>
              <w:bidi w:val="0"/>
              <w:textAlignment w:val="auto"/>
              <w:outlineLvl w:val="9"/>
              <w:rPr>
                <w:rFonts w:hint="eastAsia" w:ascii="宋体" w:hAnsi="宋体" w:cs="宋体"/>
                <w:sz w:val="21"/>
                <w:szCs w:val="21"/>
              </w:rPr>
            </w:pPr>
          </w:p>
        </w:tc>
        <w:tc>
          <w:tcPr>
            <w:tcW w:w="1578" w:type="dxa"/>
            <w:noWrap w:val="0"/>
            <w:vAlign w:val="top"/>
          </w:tcPr>
          <w:p w14:paraId="01084C05">
            <w:pPr>
              <w:pageBreakBefore w:val="0"/>
              <w:kinsoku/>
              <w:overflowPunct/>
              <w:topLinePunct w:val="0"/>
              <w:bidi w:val="0"/>
              <w:textAlignment w:val="auto"/>
              <w:outlineLvl w:val="9"/>
              <w:rPr>
                <w:rFonts w:hint="eastAsia" w:ascii="宋体" w:hAnsi="宋体" w:cs="宋体"/>
                <w:sz w:val="21"/>
                <w:szCs w:val="21"/>
              </w:rPr>
            </w:pPr>
          </w:p>
        </w:tc>
        <w:tc>
          <w:tcPr>
            <w:tcW w:w="2840" w:type="dxa"/>
            <w:noWrap w:val="0"/>
            <w:vAlign w:val="top"/>
          </w:tcPr>
          <w:p w14:paraId="1CF5CADB">
            <w:pPr>
              <w:pageBreakBefore w:val="0"/>
              <w:kinsoku/>
              <w:overflowPunct/>
              <w:topLinePunct w:val="0"/>
              <w:bidi w:val="0"/>
              <w:textAlignment w:val="auto"/>
              <w:outlineLvl w:val="9"/>
              <w:rPr>
                <w:rFonts w:hint="eastAsia" w:ascii="宋体" w:hAnsi="宋体" w:cs="宋体"/>
                <w:sz w:val="21"/>
                <w:szCs w:val="21"/>
              </w:rPr>
            </w:pPr>
          </w:p>
        </w:tc>
      </w:tr>
    </w:tbl>
    <w:p w14:paraId="4374EB4B">
      <w:pPr>
        <w:pageBreakBefore w:val="0"/>
        <w:kinsoku/>
        <w:overflowPunct/>
        <w:topLinePunct w:val="0"/>
        <w:bidi w:val="0"/>
        <w:jc w:val="center"/>
        <w:textAlignment w:val="auto"/>
        <w:outlineLvl w:val="9"/>
        <w:rPr>
          <w:rFonts w:hint="eastAsia" w:ascii="宋体" w:hAnsi="宋体" w:cs="宋体"/>
          <w:b/>
          <w:bCs/>
          <w:sz w:val="21"/>
          <w:szCs w:val="21"/>
        </w:rPr>
      </w:pPr>
    </w:p>
    <w:p w14:paraId="2A48A6FE">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 xml:space="preserve">   检测设备一览表</w:t>
      </w:r>
    </w:p>
    <w:tbl>
      <w:tblPr>
        <w:tblStyle w:val="24"/>
        <w:tblW w:w="9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1"/>
        <w:gridCol w:w="3255"/>
        <w:gridCol w:w="1575"/>
        <w:gridCol w:w="2835"/>
      </w:tblGrid>
      <w:tr w14:paraId="23A66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noWrap w:val="0"/>
            <w:vAlign w:val="top"/>
          </w:tcPr>
          <w:p w14:paraId="12DEDD63">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序号</w:t>
            </w:r>
          </w:p>
        </w:tc>
        <w:tc>
          <w:tcPr>
            <w:tcW w:w="3255" w:type="dxa"/>
            <w:noWrap w:val="0"/>
            <w:vAlign w:val="top"/>
          </w:tcPr>
          <w:p w14:paraId="6E8C6AD4">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名 称（规格、型号）</w:t>
            </w:r>
          </w:p>
        </w:tc>
        <w:tc>
          <w:tcPr>
            <w:tcW w:w="1575" w:type="dxa"/>
            <w:noWrap w:val="0"/>
            <w:vAlign w:val="top"/>
          </w:tcPr>
          <w:p w14:paraId="5B477329">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数 量</w:t>
            </w:r>
          </w:p>
        </w:tc>
        <w:tc>
          <w:tcPr>
            <w:tcW w:w="2835" w:type="dxa"/>
            <w:noWrap w:val="0"/>
            <w:vAlign w:val="top"/>
          </w:tcPr>
          <w:p w14:paraId="76E7CD25">
            <w:pPr>
              <w:pageBreakBefore w:val="0"/>
              <w:kinsoku/>
              <w:overflowPunct/>
              <w:topLinePunct w:val="0"/>
              <w:bidi w:val="0"/>
              <w:jc w:val="center"/>
              <w:textAlignment w:val="auto"/>
              <w:outlineLvl w:val="9"/>
              <w:rPr>
                <w:rFonts w:hint="eastAsia" w:ascii="宋体" w:hAnsi="宋体" w:cs="宋体"/>
                <w:b/>
                <w:bCs/>
                <w:sz w:val="21"/>
                <w:szCs w:val="21"/>
              </w:rPr>
            </w:pPr>
            <w:r>
              <w:rPr>
                <w:rFonts w:hint="eastAsia" w:ascii="宋体" w:hAnsi="宋体" w:cs="宋体"/>
                <w:b/>
                <w:bCs/>
                <w:sz w:val="21"/>
                <w:szCs w:val="21"/>
              </w:rPr>
              <w:t>备 注</w:t>
            </w:r>
          </w:p>
        </w:tc>
      </w:tr>
      <w:tr w14:paraId="08FBB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noWrap w:val="0"/>
            <w:vAlign w:val="top"/>
          </w:tcPr>
          <w:p w14:paraId="684B0D82">
            <w:pPr>
              <w:pageBreakBefore w:val="0"/>
              <w:kinsoku/>
              <w:overflowPunct/>
              <w:topLinePunct w:val="0"/>
              <w:bidi w:val="0"/>
              <w:textAlignment w:val="auto"/>
              <w:outlineLvl w:val="9"/>
              <w:rPr>
                <w:rFonts w:hint="eastAsia" w:ascii="宋体" w:hAnsi="宋体" w:cs="宋体"/>
                <w:sz w:val="21"/>
                <w:szCs w:val="21"/>
              </w:rPr>
            </w:pPr>
          </w:p>
        </w:tc>
        <w:tc>
          <w:tcPr>
            <w:tcW w:w="3255" w:type="dxa"/>
            <w:noWrap w:val="0"/>
            <w:vAlign w:val="top"/>
          </w:tcPr>
          <w:p w14:paraId="4E2483BD">
            <w:pPr>
              <w:pageBreakBefore w:val="0"/>
              <w:kinsoku/>
              <w:overflowPunct/>
              <w:topLinePunct w:val="0"/>
              <w:bidi w:val="0"/>
              <w:textAlignment w:val="auto"/>
              <w:outlineLvl w:val="9"/>
              <w:rPr>
                <w:rFonts w:hint="eastAsia" w:ascii="宋体" w:hAnsi="宋体" w:cs="宋体"/>
                <w:sz w:val="21"/>
                <w:szCs w:val="21"/>
              </w:rPr>
            </w:pPr>
          </w:p>
        </w:tc>
        <w:tc>
          <w:tcPr>
            <w:tcW w:w="1575" w:type="dxa"/>
            <w:noWrap w:val="0"/>
            <w:vAlign w:val="top"/>
          </w:tcPr>
          <w:p w14:paraId="222184FF">
            <w:pPr>
              <w:pageBreakBefore w:val="0"/>
              <w:kinsoku/>
              <w:overflowPunct/>
              <w:topLinePunct w:val="0"/>
              <w:bidi w:val="0"/>
              <w:textAlignment w:val="auto"/>
              <w:outlineLvl w:val="9"/>
              <w:rPr>
                <w:rFonts w:hint="eastAsia" w:ascii="宋体" w:hAnsi="宋体" w:cs="宋体"/>
                <w:sz w:val="21"/>
                <w:szCs w:val="21"/>
              </w:rPr>
            </w:pPr>
          </w:p>
        </w:tc>
        <w:tc>
          <w:tcPr>
            <w:tcW w:w="2835" w:type="dxa"/>
            <w:noWrap w:val="0"/>
            <w:vAlign w:val="top"/>
          </w:tcPr>
          <w:p w14:paraId="7889C435">
            <w:pPr>
              <w:pStyle w:val="62"/>
              <w:pageBreakBefore w:val="0"/>
              <w:kinsoku/>
              <w:overflowPunct/>
              <w:topLinePunct w:val="0"/>
              <w:bidi w:val="0"/>
              <w:textAlignment w:val="auto"/>
              <w:outlineLvl w:val="9"/>
              <w:rPr>
                <w:rFonts w:hint="eastAsia" w:ascii="宋体" w:hAnsi="宋体" w:cs="宋体"/>
                <w:sz w:val="21"/>
                <w:szCs w:val="21"/>
              </w:rPr>
            </w:pPr>
          </w:p>
        </w:tc>
      </w:tr>
      <w:tr w14:paraId="7CF96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1" w:type="dxa"/>
            <w:noWrap w:val="0"/>
            <w:vAlign w:val="top"/>
          </w:tcPr>
          <w:p w14:paraId="38665379">
            <w:pPr>
              <w:pageBreakBefore w:val="0"/>
              <w:kinsoku/>
              <w:overflowPunct/>
              <w:topLinePunct w:val="0"/>
              <w:bidi w:val="0"/>
              <w:textAlignment w:val="auto"/>
              <w:outlineLvl w:val="9"/>
              <w:rPr>
                <w:rFonts w:hint="eastAsia" w:ascii="宋体" w:hAnsi="宋体" w:cs="宋体"/>
                <w:sz w:val="21"/>
                <w:szCs w:val="21"/>
              </w:rPr>
            </w:pPr>
          </w:p>
        </w:tc>
        <w:tc>
          <w:tcPr>
            <w:tcW w:w="3255" w:type="dxa"/>
            <w:noWrap w:val="0"/>
            <w:vAlign w:val="top"/>
          </w:tcPr>
          <w:p w14:paraId="7E0675E2">
            <w:pPr>
              <w:pageBreakBefore w:val="0"/>
              <w:kinsoku/>
              <w:overflowPunct/>
              <w:topLinePunct w:val="0"/>
              <w:bidi w:val="0"/>
              <w:textAlignment w:val="auto"/>
              <w:outlineLvl w:val="9"/>
              <w:rPr>
                <w:rFonts w:hint="eastAsia" w:ascii="宋体" w:hAnsi="宋体" w:cs="宋体"/>
                <w:sz w:val="21"/>
                <w:szCs w:val="21"/>
              </w:rPr>
            </w:pPr>
          </w:p>
        </w:tc>
        <w:tc>
          <w:tcPr>
            <w:tcW w:w="1575" w:type="dxa"/>
            <w:noWrap w:val="0"/>
            <w:vAlign w:val="top"/>
          </w:tcPr>
          <w:p w14:paraId="5AE0B8AA">
            <w:pPr>
              <w:pageBreakBefore w:val="0"/>
              <w:kinsoku/>
              <w:overflowPunct/>
              <w:topLinePunct w:val="0"/>
              <w:bidi w:val="0"/>
              <w:textAlignment w:val="auto"/>
              <w:outlineLvl w:val="9"/>
              <w:rPr>
                <w:rFonts w:hint="eastAsia" w:ascii="宋体" w:hAnsi="宋体" w:cs="宋体"/>
                <w:sz w:val="21"/>
                <w:szCs w:val="21"/>
              </w:rPr>
            </w:pPr>
          </w:p>
        </w:tc>
        <w:tc>
          <w:tcPr>
            <w:tcW w:w="2835" w:type="dxa"/>
            <w:noWrap w:val="0"/>
            <w:vAlign w:val="top"/>
          </w:tcPr>
          <w:p w14:paraId="5BFC28D1">
            <w:pPr>
              <w:pageBreakBefore w:val="0"/>
              <w:kinsoku/>
              <w:overflowPunct/>
              <w:topLinePunct w:val="0"/>
              <w:bidi w:val="0"/>
              <w:textAlignment w:val="auto"/>
              <w:outlineLvl w:val="9"/>
              <w:rPr>
                <w:rFonts w:hint="eastAsia" w:ascii="宋体" w:hAnsi="宋体" w:cs="宋体"/>
                <w:sz w:val="21"/>
                <w:szCs w:val="21"/>
              </w:rPr>
            </w:pPr>
          </w:p>
        </w:tc>
      </w:tr>
      <w:tr w14:paraId="02ADD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31" w:type="dxa"/>
            <w:noWrap w:val="0"/>
            <w:vAlign w:val="top"/>
          </w:tcPr>
          <w:p w14:paraId="6D6A4A61">
            <w:pPr>
              <w:pageBreakBefore w:val="0"/>
              <w:kinsoku/>
              <w:overflowPunct/>
              <w:topLinePunct w:val="0"/>
              <w:bidi w:val="0"/>
              <w:textAlignment w:val="auto"/>
              <w:outlineLvl w:val="9"/>
              <w:rPr>
                <w:rFonts w:hint="eastAsia" w:ascii="宋体" w:hAnsi="宋体" w:cs="宋体"/>
                <w:sz w:val="24"/>
                <w:szCs w:val="28"/>
              </w:rPr>
            </w:pPr>
          </w:p>
        </w:tc>
        <w:tc>
          <w:tcPr>
            <w:tcW w:w="3255" w:type="dxa"/>
            <w:noWrap w:val="0"/>
            <w:vAlign w:val="top"/>
          </w:tcPr>
          <w:p w14:paraId="4CF2C055">
            <w:pPr>
              <w:pageBreakBefore w:val="0"/>
              <w:kinsoku/>
              <w:overflowPunct/>
              <w:topLinePunct w:val="0"/>
              <w:bidi w:val="0"/>
              <w:textAlignment w:val="auto"/>
              <w:outlineLvl w:val="9"/>
              <w:rPr>
                <w:rFonts w:hint="eastAsia" w:ascii="宋体" w:hAnsi="宋体" w:cs="宋体"/>
                <w:sz w:val="24"/>
                <w:szCs w:val="28"/>
              </w:rPr>
            </w:pPr>
          </w:p>
        </w:tc>
        <w:tc>
          <w:tcPr>
            <w:tcW w:w="1575" w:type="dxa"/>
            <w:noWrap w:val="0"/>
            <w:vAlign w:val="top"/>
          </w:tcPr>
          <w:p w14:paraId="1A3826E0">
            <w:pPr>
              <w:pageBreakBefore w:val="0"/>
              <w:kinsoku/>
              <w:overflowPunct/>
              <w:topLinePunct w:val="0"/>
              <w:bidi w:val="0"/>
              <w:textAlignment w:val="auto"/>
              <w:outlineLvl w:val="9"/>
              <w:rPr>
                <w:rFonts w:hint="eastAsia" w:ascii="宋体" w:hAnsi="宋体" w:cs="宋体"/>
                <w:sz w:val="24"/>
                <w:szCs w:val="28"/>
              </w:rPr>
            </w:pPr>
          </w:p>
        </w:tc>
        <w:tc>
          <w:tcPr>
            <w:tcW w:w="2835" w:type="dxa"/>
            <w:noWrap w:val="0"/>
            <w:vAlign w:val="top"/>
          </w:tcPr>
          <w:p w14:paraId="5DE73029">
            <w:pPr>
              <w:pageBreakBefore w:val="0"/>
              <w:kinsoku/>
              <w:overflowPunct/>
              <w:topLinePunct w:val="0"/>
              <w:bidi w:val="0"/>
              <w:textAlignment w:val="auto"/>
              <w:outlineLvl w:val="9"/>
              <w:rPr>
                <w:rFonts w:hint="eastAsia" w:ascii="宋体" w:hAnsi="宋体" w:cs="宋体"/>
                <w:sz w:val="24"/>
                <w:szCs w:val="28"/>
              </w:rPr>
            </w:pPr>
          </w:p>
        </w:tc>
      </w:tr>
      <w:tr w14:paraId="3354E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31" w:type="dxa"/>
            <w:noWrap w:val="0"/>
            <w:vAlign w:val="top"/>
          </w:tcPr>
          <w:p w14:paraId="0D351EC1">
            <w:pPr>
              <w:pageBreakBefore w:val="0"/>
              <w:kinsoku/>
              <w:overflowPunct/>
              <w:topLinePunct w:val="0"/>
              <w:bidi w:val="0"/>
              <w:textAlignment w:val="auto"/>
              <w:outlineLvl w:val="9"/>
              <w:rPr>
                <w:rFonts w:hint="eastAsia" w:ascii="宋体" w:hAnsi="宋体" w:cs="宋体"/>
                <w:sz w:val="24"/>
                <w:szCs w:val="28"/>
              </w:rPr>
            </w:pPr>
          </w:p>
        </w:tc>
        <w:tc>
          <w:tcPr>
            <w:tcW w:w="3255" w:type="dxa"/>
            <w:noWrap w:val="0"/>
            <w:vAlign w:val="top"/>
          </w:tcPr>
          <w:p w14:paraId="08F43FD9">
            <w:pPr>
              <w:pageBreakBefore w:val="0"/>
              <w:kinsoku/>
              <w:overflowPunct/>
              <w:topLinePunct w:val="0"/>
              <w:bidi w:val="0"/>
              <w:textAlignment w:val="auto"/>
              <w:outlineLvl w:val="9"/>
              <w:rPr>
                <w:rFonts w:hint="eastAsia" w:ascii="宋体" w:hAnsi="宋体" w:cs="宋体"/>
                <w:sz w:val="24"/>
                <w:szCs w:val="28"/>
              </w:rPr>
            </w:pPr>
          </w:p>
        </w:tc>
        <w:tc>
          <w:tcPr>
            <w:tcW w:w="1575" w:type="dxa"/>
            <w:noWrap w:val="0"/>
            <w:vAlign w:val="top"/>
          </w:tcPr>
          <w:p w14:paraId="47F9A495">
            <w:pPr>
              <w:pageBreakBefore w:val="0"/>
              <w:kinsoku/>
              <w:overflowPunct/>
              <w:topLinePunct w:val="0"/>
              <w:bidi w:val="0"/>
              <w:textAlignment w:val="auto"/>
              <w:outlineLvl w:val="9"/>
              <w:rPr>
                <w:rFonts w:hint="eastAsia" w:ascii="宋体" w:hAnsi="宋体" w:cs="宋体"/>
                <w:sz w:val="24"/>
                <w:szCs w:val="28"/>
              </w:rPr>
            </w:pPr>
          </w:p>
        </w:tc>
        <w:tc>
          <w:tcPr>
            <w:tcW w:w="2835" w:type="dxa"/>
            <w:noWrap w:val="0"/>
            <w:vAlign w:val="top"/>
          </w:tcPr>
          <w:p w14:paraId="690915E6">
            <w:pPr>
              <w:pageBreakBefore w:val="0"/>
              <w:kinsoku/>
              <w:overflowPunct/>
              <w:topLinePunct w:val="0"/>
              <w:bidi w:val="0"/>
              <w:textAlignment w:val="auto"/>
              <w:outlineLvl w:val="9"/>
              <w:rPr>
                <w:rFonts w:hint="eastAsia" w:ascii="宋体" w:hAnsi="宋体" w:cs="宋体"/>
                <w:sz w:val="24"/>
                <w:szCs w:val="28"/>
              </w:rPr>
            </w:pPr>
          </w:p>
        </w:tc>
      </w:tr>
    </w:tbl>
    <w:p w14:paraId="4BCFBB40">
      <w:pPr>
        <w:pageBreakBefore w:val="0"/>
        <w:kinsoku/>
        <w:overflowPunct/>
        <w:topLinePunct w:val="0"/>
        <w:bidi w:val="0"/>
        <w:textAlignment w:val="auto"/>
        <w:outlineLvl w:val="9"/>
        <w:rPr>
          <w:rFonts w:ascii="宋体" w:hAnsi="宋体" w:cs="宋体"/>
          <w:b/>
          <w:bCs/>
          <w:color w:val="000000"/>
        </w:rPr>
      </w:pPr>
      <w:bookmarkStart w:id="3" w:name="_GoBack"/>
      <w:bookmarkEnd w:id="3"/>
    </w:p>
    <w:sectPr>
      <w:headerReference r:id="rId3" w:type="default"/>
      <w:footerReference r:id="rId4" w:type="default"/>
      <w:pgSz w:w="11906" w:h="16838"/>
      <w:pgMar w:top="1417" w:right="1134" w:bottom="1417" w:left="1134" w:header="680" w:footer="68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仿宋">
    <w:altName w:val="仿宋"/>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79E76">
    <w:pPr>
      <w:pStyle w:val="18"/>
      <w:pBdr>
        <w:top w:val="single" w:color="auto" w:sz="4" w:space="1"/>
      </w:pBdr>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F6BE8">
    <w:pPr>
      <w:pStyle w:val="19"/>
      <w:ind w:right="30"/>
      <w:rPr>
        <w:szCs w:val="21"/>
      </w:rPr>
    </w:pPr>
    <w:r>
      <w:rPr>
        <w:rFonts w:hint="eastAsia"/>
        <w:szCs w:val="21"/>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U2YjZhZmYxNTI5ZWY4NjEwNWYxYzM2ZWRmMDBmMTEifQ=="/>
  </w:docVars>
  <w:rsids>
    <w:rsidRoot w:val="00172A27"/>
    <w:rsid w:val="00000A6A"/>
    <w:rsid w:val="00000C17"/>
    <w:rsid w:val="0000107A"/>
    <w:rsid w:val="000011BE"/>
    <w:rsid w:val="000042D3"/>
    <w:rsid w:val="00005133"/>
    <w:rsid w:val="00005466"/>
    <w:rsid w:val="00006AF1"/>
    <w:rsid w:val="00007032"/>
    <w:rsid w:val="000073FC"/>
    <w:rsid w:val="00007515"/>
    <w:rsid w:val="00007AA3"/>
    <w:rsid w:val="000126E1"/>
    <w:rsid w:val="000149A1"/>
    <w:rsid w:val="00015E04"/>
    <w:rsid w:val="00016F43"/>
    <w:rsid w:val="00017071"/>
    <w:rsid w:val="00021D7E"/>
    <w:rsid w:val="00022253"/>
    <w:rsid w:val="00023297"/>
    <w:rsid w:val="00023BBF"/>
    <w:rsid w:val="00023C13"/>
    <w:rsid w:val="00023C3C"/>
    <w:rsid w:val="000247AB"/>
    <w:rsid w:val="0002603D"/>
    <w:rsid w:val="0002701D"/>
    <w:rsid w:val="0003013D"/>
    <w:rsid w:val="00031964"/>
    <w:rsid w:val="000319DA"/>
    <w:rsid w:val="000319EE"/>
    <w:rsid w:val="000337C8"/>
    <w:rsid w:val="00034AAF"/>
    <w:rsid w:val="00035299"/>
    <w:rsid w:val="000358D5"/>
    <w:rsid w:val="00035F36"/>
    <w:rsid w:val="0004043A"/>
    <w:rsid w:val="0004104A"/>
    <w:rsid w:val="000417F5"/>
    <w:rsid w:val="000417F8"/>
    <w:rsid w:val="00041DC6"/>
    <w:rsid w:val="0004231F"/>
    <w:rsid w:val="00045045"/>
    <w:rsid w:val="0004516A"/>
    <w:rsid w:val="000455DA"/>
    <w:rsid w:val="00045DB5"/>
    <w:rsid w:val="00047F3E"/>
    <w:rsid w:val="00050835"/>
    <w:rsid w:val="00050A83"/>
    <w:rsid w:val="000511CB"/>
    <w:rsid w:val="000512EC"/>
    <w:rsid w:val="000518DE"/>
    <w:rsid w:val="00053D7B"/>
    <w:rsid w:val="0005429F"/>
    <w:rsid w:val="00055074"/>
    <w:rsid w:val="000559BC"/>
    <w:rsid w:val="0005704C"/>
    <w:rsid w:val="00060E7B"/>
    <w:rsid w:val="00061608"/>
    <w:rsid w:val="00061D3D"/>
    <w:rsid w:val="00061E14"/>
    <w:rsid w:val="00062251"/>
    <w:rsid w:val="000624B1"/>
    <w:rsid w:val="00063D98"/>
    <w:rsid w:val="00064343"/>
    <w:rsid w:val="00064689"/>
    <w:rsid w:val="000649C8"/>
    <w:rsid w:val="00064D1E"/>
    <w:rsid w:val="00065803"/>
    <w:rsid w:val="000669F8"/>
    <w:rsid w:val="00066BD7"/>
    <w:rsid w:val="00067019"/>
    <w:rsid w:val="00070CBB"/>
    <w:rsid w:val="000727F7"/>
    <w:rsid w:val="00073DC2"/>
    <w:rsid w:val="00074E8A"/>
    <w:rsid w:val="00076BB9"/>
    <w:rsid w:val="000776CC"/>
    <w:rsid w:val="0008079C"/>
    <w:rsid w:val="0008134D"/>
    <w:rsid w:val="00081AFC"/>
    <w:rsid w:val="00083019"/>
    <w:rsid w:val="00084CDB"/>
    <w:rsid w:val="00084F13"/>
    <w:rsid w:val="000853BB"/>
    <w:rsid w:val="000855F2"/>
    <w:rsid w:val="000867D9"/>
    <w:rsid w:val="000911C6"/>
    <w:rsid w:val="00091459"/>
    <w:rsid w:val="00091872"/>
    <w:rsid w:val="0009213F"/>
    <w:rsid w:val="000921B8"/>
    <w:rsid w:val="000922D7"/>
    <w:rsid w:val="00092463"/>
    <w:rsid w:val="00092644"/>
    <w:rsid w:val="0009264C"/>
    <w:rsid w:val="00094CE2"/>
    <w:rsid w:val="0009594D"/>
    <w:rsid w:val="000961D5"/>
    <w:rsid w:val="0009665A"/>
    <w:rsid w:val="0009678F"/>
    <w:rsid w:val="000968A3"/>
    <w:rsid w:val="00096958"/>
    <w:rsid w:val="00097945"/>
    <w:rsid w:val="00097DCE"/>
    <w:rsid w:val="000A0289"/>
    <w:rsid w:val="000A0E57"/>
    <w:rsid w:val="000A0F30"/>
    <w:rsid w:val="000A3717"/>
    <w:rsid w:val="000A3A67"/>
    <w:rsid w:val="000A4AB3"/>
    <w:rsid w:val="000A5063"/>
    <w:rsid w:val="000A5517"/>
    <w:rsid w:val="000A5B59"/>
    <w:rsid w:val="000A6279"/>
    <w:rsid w:val="000A69D2"/>
    <w:rsid w:val="000A6C9F"/>
    <w:rsid w:val="000A788F"/>
    <w:rsid w:val="000A7B6C"/>
    <w:rsid w:val="000B0CC0"/>
    <w:rsid w:val="000B2118"/>
    <w:rsid w:val="000B34B1"/>
    <w:rsid w:val="000B47EC"/>
    <w:rsid w:val="000B506D"/>
    <w:rsid w:val="000B7BC1"/>
    <w:rsid w:val="000B7D6E"/>
    <w:rsid w:val="000C02B8"/>
    <w:rsid w:val="000C02F8"/>
    <w:rsid w:val="000C0991"/>
    <w:rsid w:val="000C0E18"/>
    <w:rsid w:val="000C1E8C"/>
    <w:rsid w:val="000C383F"/>
    <w:rsid w:val="000C4010"/>
    <w:rsid w:val="000C4BBE"/>
    <w:rsid w:val="000C6EB4"/>
    <w:rsid w:val="000C7057"/>
    <w:rsid w:val="000C75DF"/>
    <w:rsid w:val="000D1369"/>
    <w:rsid w:val="000D291C"/>
    <w:rsid w:val="000D3B07"/>
    <w:rsid w:val="000D4A10"/>
    <w:rsid w:val="000D51D6"/>
    <w:rsid w:val="000D7CAD"/>
    <w:rsid w:val="000E04AF"/>
    <w:rsid w:val="000E0905"/>
    <w:rsid w:val="000E139D"/>
    <w:rsid w:val="000E1BDD"/>
    <w:rsid w:val="000E4988"/>
    <w:rsid w:val="000E517E"/>
    <w:rsid w:val="000E657B"/>
    <w:rsid w:val="000E7179"/>
    <w:rsid w:val="000E7913"/>
    <w:rsid w:val="000F1962"/>
    <w:rsid w:val="000F280E"/>
    <w:rsid w:val="000F2E4F"/>
    <w:rsid w:val="000F38FE"/>
    <w:rsid w:val="000F4F6F"/>
    <w:rsid w:val="000F51A9"/>
    <w:rsid w:val="000F5E01"/>
    <w:rsid w:val="000F6EB4"/>
    <w:rsid w:val="000F72A8"/>
    <w:rsid w:val="0010403A"/>
    <w:rsid w:val="001073FE"/>
    <w:rsid w:val="001076B7"/>
    <w:rsid w:val="00107DF9"/>
    <w:rsid w:val="00111443"/>
    <w:rsid w:val="00111488"/>
    <w:rsid w:val="00111841"/>
    <w:rsid w:val="00111FF7"/>
    <w:rsid w:val="00112063"/>
    <w:rsid w:val="00114CB9"/>
    <w:rsid w:val="001167E5"/>
    <w:rsid w:val="001174A5"/>
    <w:rsid w:val="00117808"/>
    <w:rsid w:val="00117938"/>
    <w:rsid w:val="001179CE"/>
    <w:rsid w:val="00120DED"/>
    <w:rsid w:val="001220D1"/>
    <w:rsid w:val="00122B92"/>
    <w:rsid w:val="00122D8B"/>
    <w:rsid w:val="00122E55"/>
    <w:rsid w:val="00123858"/>
    <w:rsid w:val="001243CD"/>
    <w:rsid w:val="00125299"/>
    <w:rsid w:val="0012736F"/>
    <w:rsid w:val="001277D9"/>
    <w:rsid w:val="001278DE"/>
    <w:rsid w:val="001305FC"/>
    <w:rsid w:val="00130E6F"/>
    <w:rsid w:val="0013246E"/>
    <w:rsid w:val="00132D2A"/>
    <w:rsid w:val="0013382F"/>
    <w:rsid w:val="001356F1"/>
    <w:rsid w:val="0013594E"/>
    <w:rsid w:val="001369BD"/>
    <w:rsid w:val="00136B11"/>
    <w:rsid w:val="00136F8C"/>
    <w:rsid w:val="00140063"/>
    <w:rsid w:val="001406AE"/>
    <w:rsid w:val="00140F4F"/>
    <w:rsid w:val="001439B9"/>
    <w:rsid w:val="00144054"/>
    <w:rsid w:val="00144C8F"/>
    <w:rsid w:val="00145333"/>
    <w:rsid w:val="00145F07"/>
    <w:rsid w:val="00146EFE"/>
    <w:rsid w:val="00146F98"/>
    <w:rsid w:val="00151DD7"/>
    <w:rsid w:val="001549DF"/>
    <w:rsid w:val="00155B7A"/>
    <w:rsid w:val="0015661A"/>
    <w:rsid w:val="00160DD3"/>
    <w:rsid w:val="001650C9"/>
    <w:rsid w:val="00172A27"/>
    <w:rsid w:val="00172FCE"/>
    <w:rsid w:val="0017392F"/>
    <w:rsid w:val="00174DB7"/>
    <w:rsid w:val="0017554C"/>
    <w:rsid w:val="0017582B"/>
    <w:rsid w:val="00176D3D"/>
    <w:rsid w:val="00177B22"/>
    <w:rsid w:val="00177CA1"/>
    <w:rsid w:val="00180BE2"/>
    <w:rsid w:val="00181AD1"/>
    <w:rsid w:val="00182186"/>
    <w:rsid w:val="00182637"/>
    <w:rsid w:val="0018463C"/>
    <w:rsid w:val="00184E4B"/>
    <w:rsid w:val="00190B4B"/>
    <w:rsid w:val="00190C28"/>
    <w:rsid w:val="001922E2"/>
    <w:rsid w:val="00193311"/>
    <w:rsid w:val="00194AA6"/>
    <w:rsid w:val="00194AE3"/>
    <w:rsid w:val="001951BE"/>
    <w:rsid w:val="0019606E"/>
    <w:rsid w:val="00197C1C"/>
    <w:rsid w:val="001A08BD"/>
    <w:rsid w:val="001A093D"/>
    <w:rsid w:val="001A15FA"/>
    <w:rsid w:val="001A1819"/>
    <w:rsid w:val="001A1B18"/>
    <w:rsid w:val="001A1F8A"/>
    <w:rsid w:val="001A2133"/>
    <w:rsid w:val="001A29CA"/>
    <w:rsid w:val="001A6823"/>
    <w:rsid w:val="001A7223"/>
    <w:rsid w:val="001A77ED"/>
    <w:rsid w:val="001A7825"/>
    <w:rsid w:val="001A7D51"/>
    <w:rsid w:val="001B04B2"/>
    <w:rsid w:val="001B32F6"/>
    <w:rsid w:val="001B67A1"/>
    <w:rsid w:val="001B7603"/>
    <w:rsid w:val="001C0361"/>
    <w:rsid w:val="001C1352"/>
    <w:rsid w:val="001C1657"/>
    <w:rsid w:val="001C3C00"/>
    <w:rsid w:val="001C3C5D"/>
    <w:rsid w:val="001C583F"/>
    <w:rsid w:val="001C58D1"/>
    <w:rsid w:val="001D05C7"/>
    <w:rsid w:val="001D0B74"/>
    <w:rsid w:val="001D0E65"/>
    <w:rsid w:val="001D18E8"/>
    <w:rsid w:val="001D1A63"/>
    <w:rsid w:val="001D4553"/>
    <w:rsid w:val="001D4B3E"/>
    <w:rsid w:val="001D4FDA"/>
    <w:rsid w:val="001D65D5"/>
    <w:rsid w:val="001D673B"/>
    <w:rsid w:val="001D6E9C"/>
    <w:rsid w:val="001E1B69"/>
    <w:rsid w:val="001E221F"/>
    <w:rsid w:val="001E2320"/>
    <w:rsid w:val="001E2757"/>
    <w:rsid w:val="001E3BB5"/>
    <w:rsid w:val="001E5D62"/>
    <w:rsid w:val="001E638F"/>
    <w:rsid w:val="001E6D51"/>
    <w:rsid w:val="001E783B"/>
    <w:rsid w:val="001E7C14"/>
    <w:rsid w:val="001E7E18"/>
    <w:rsid w:val="001E7E1E"/>
    <w:rsid w:val="001F00EE"/>
    <w:rsid w:val="001F05E7"/>
    <w:rsid w:val="001F1CF5"/>
    <w:rsid w:val="001F1F69"/>
    <w:rsid w:val="001F2E32"/>
    <w:rsid w:val="001F59C8"/>
    <w:rsid w:val="001F5A3C"/>
    <w:rsid w:val="001F5D6A"/>
    <w:rsid w:val="00200332"/>
    <w:rsid w:val="00200675"/>
    <w:rsid w:val="00201B80"/>
    <w:rsid w:val="0020331E"/>
    <w:rsid w:val="002033F7"/>
    <w:rsid w:val="00204105"/>
    <w:rsid w:val="002042AE"/>
    <w:rsid w:val="002046D4"/>
    <w:rsid w:val="00204C8D"/>
    <w:rsid w:val="00205937"/>
    <w:rsid w:val="00205E17"/>
    <w:rsid w:val="00206B65"/>
    <w:rsid w:val="00207FED"/>
    <w:rsid w:val="002114E2"/>
    <w:rsid w:val="00211B1D"/>
    <w:rsid w:val="002125D8"/>
    <w:rsid w:val="00212CF6"/>
    <w:rsid w:val="0021414F"/>
    <w:rsid w:val="00214600"/>
    <w:rsid w:val="00214AEF"/>
    <w:rsid w:val="00214CF3"/>
    <w:rsid w:val="002159F0"/>
    <w:rsid w:val="002163E0"/>
    <w:rsid w:val="00216845"/>
    <w:rsid w:val="00217292"/>
    <w:rsid w:val="002173FD"/>
    <w:rsid w:val="0022151F"/>
    <w:rsid w:val="00230744"/>
    <w:rsid w:val="00231320"/>
    <w:rsid w:val="00231B07"/>
    <w:rsid w:val="002326D3"/>
    <w:rsid w:val="00233012"/>
    <w:rsid w:val="0023410B"/>
    <w:rsid w:val="002345F1"/>
    <w:rsid w:val="00235BC7"/>
    <w:rsid w:val="00237F01"/>
    <w:rsid w:val="002425BE"/>
    <w:rsid w:val="002440C0"/>
    <w:rsid w:val="00244DB8"/>
    <w:rsid w:val="002459A4"/>
    <w:rsid w:val="00247C71"/>
    <w:rsid w:val="00247CEA"/>
    <w:rsid w:val="0025135B"/>
    <w:rsid w:val="002539BB"/>
    <w:rsid w:val="002554AD"/>
    <w:rsid w:val="00255576"/>
    <w:rsid w:val="00255C1E"/>
    <w:rsid w:val="0025625B"/>
    <w:rsid w:val="00256A21"/>
    <w:rsid w:val="00257A30"/>
    <w:rsid w:val="0026090C"/>
    <w:rsid w:val="00260D0E"/>
    <w:rsid w:val="002613B1"/>
    <w:rsid w:val="00261E08"/>
    <w:rsid w:val="002657BE"/>
    <w:rsid w:val="00265EB2"/>
    <w:rsid w:val="0026687E"/>
    <w:rsid w:val="00266DCC"/>
    <w:rsid w:val="00270AC3"/>
    <w:rsid w:val="00271174"/>
    <w:rsid w:val="0027263E"/>
    <w:rsid w:val="00272B6E"/>
    <w:rsid w:val="00275943"/>
    <w:rsid w:val="00276566"/>
    <w:rsid w:val="002766F3"/>
    <w:rsid w:val="00276D8D"/>
    <w:rsid w:val="00280759"/>
    <w:rsid w:val="00280852"/>
    <w:rsid w:val="00282F8A"/>
    <w:rsid w:val="00283554"/>
    <w:rsid w:val="002845ED"/>
    <w:rsid w:val="00284C44"/>
    <w:rsid w:val="00286683"/>
    <w:rsid w:val="00286742"/>
    <w:rsid w:val="002869B5"/>
    <w:rsid w:val="00286CDE"/>
    <w:rsid w:val="0029008F"/>
    <w:rsid w:val="0029062C"/>
    <w:rsid w:val="00292182"/>
    <w:rsid w:val="00292189"/>
    <w:rsid w:val="00294433"/>
    <w:rsid w:val="00296882"/>
    <w:rsid w:val="002A1B49"/>
    <w:rsid w:val="002A3645"/>
    <w:rsid w:val="002A369D"/>
    <w:rsid w:val="002A4102"/>
    <w:rsid w:val="002A575B"/>
    <w:rsid w:val="002A6A11"/>
    <w:rsid w:val="002A7F1D"/>
    <w:rsid w:val="002B11F0"/>
    <w:rsid w:val="002B2BFF"/>
    <w:rsid w:val="002B2C9E"/>
    <w:rsid w:val="002B2E4D"/>
    <w:rsid w:val="002B50D0"/>
    <w:rsid w:val="002B5642"/>
    <w:rsid w:val="002C0A12"/>
    <w:rsid w:val="002C28C0"/>
    <w:rsid w:val="002C2D23"/>
    <w:rsid w:val="002C6397"/>
    <w:rsid w:val="002C676E"/>
    <w:rsid w:val="002C6C59"/>
    <w:rsid w:val="002C7962"/>
    <w:rsid w:val="002C7AD8"/>
    <w:rsid w:val="002D0B16"/>
    <w:rsid w:val="002D1D09"/>
    <w:rsid w:val="002D2367"/>
    <w:rsid w:val="002D418A"/>
    <w:rsid w:val="002D514B"/>
    <w:rsid w:val="002D65D7"/>
    <w:rsid w:val="002D72D5"/>
    <w:rsid w:val="002E0B8B"/>
    <w:rsid w:val="002E1B58"/>
    <w:rsid w:val="002E25B3"/>
    <w:rsid w:val="002E27C0"/>
    <w:rsid w:val="002E2C59"/>
    <w:rsid w:val="002E3CB8"/>
    <w:rsid w:val="002E3F09"/>
    <w:rsid w:val="002E424C"/>
    <w:rsid w:val="002E52E5"/>
    <w:rsid w:val="002E715D"/>
    <w:rsid w:val="002E7435"/>
    <w:rsid w:val="002F03A1"/>
    <w:rsid w:val="002F05C8"/>
    <w:rsid w:val="002F15CA"/>
    <w:rsid w:val="002F28F8"/>
    <w:rsid w:val="002F4ABE"/>
    <w:rsid w:val="002F59BB"/>
    <w:rsid w:val="002F6889"/>
    <w:rsid w:val="002F7E6A"/>
    <w:rsid w:val="0030099E"/>
    <w:rsid w:val="00300A0F"/>
    <w:rsid w:val="00300AA1"/>
    <w:rsid w:val="00302892"/>
    <w:rsid w:val="00302E5C"/>
    <w:rsid w:val="0030348E"/>
    <w:rsid w:val="00303845"/>
    <w:rsid w:val="00304FDC"/>
    <w:rsid w:val="003069C6"/>
    <w:rsid w:val="00307001"/>
    <w:rsid w:val="003073E6"/>
    <w:rsid w:val="003105F8"/>
    <w:rsid w:val="00312AAD"/>
    <w:rsid w:val="00312BC9"/>
    <w:rsid w:val="00313A96"/>
    <w:rsid w:val="00313D3E"/>
    <w:rsid w:val="00314160"/>
    <w:rsid w:val="003145C8"/>
    <w:rsid w:val="00315B3D"/>
    <w:rsid w:val="00315C72"/>
    <w:rsid w:val="00316951"/>
    <w:rsid w:val="00316F87"/>
    <w:rsid w:val="003175FC"/>
    <w:rsid w:val="003176F3"/>
    <w:rsid w:val="003178D4"/>
    <w:rsid w:val="00317E42"/>
    <w:rsid w:val="00320D6B"/>
    <w:rsid w:val="00321A54"/>
    <w:rsid w:val="00321F80"/>
    <w:rsid w:val="003229B4"/>
    <w:rsid w:val="00322CF5"/>
    <w:rsid w:val="00325642"/>
    <w:rsid w:val="00326011"/>
    <w:rsid w:val="003267C0"/>
    <w:rsid w:val="003270C1"/>
    <w:rsid w:val="003272E2"/>
    <w:rsid w:val="00327C33"/>
    <w:rsid w:val="003305C2"/>
    <w:rsid w:val="00332823"/>
    <w:rsid w:val="00334A1C"/>
    <w:rsid w:val="00334D04"/>
    <w:rsid w:val="00336A95"/>
    <w:rsid w:val="00336B7E"/>
    <w:rsid w:val="0034005F"/>
    <w:rsid w:val="00340598"/>
    <w:rsid w:val="00340CA3"/>
    <w:rsid w:val="00340FD1"/>
    <w:rsid w:val="00341C40"/>
    <w:rsid w:val="00341EEE"/>
    <w:rsid w:val="0034207C"/>
    <w:rsid w:val="0034236A"/>
    <w:rsid w:val="00342431"/>
    <w:rsid w:val="00342CC5"/>
    <w:rsid w:val="0034330A"/>
    <w:rsid w:val="00343F0C"/>
    <w:rsid w:val="003449F5"/>
    <w:rsid w:val="00344FF1"/>
    <w:rsid w:val="0034561D"/>
    <w:rsid w:val="0034584A"/>
    <w:rsid w:val="00346695"/>
    <w:rsid w:val="003468DA"/>
    <w:rsid w:val="003530B9"/>
    <w:rsid w:val="003536F9"/>
    <w:rsid w:val="003579E9"/>
    <w:rsid w:val="00357AB1"/>
    <w:rsid w:val="00357E4A"/>
    <w:rsid w:val="00360A48"/>
    <w:rsid w:val="00360E8B"/>
    <w:rsid w:val="00363941"/>
    <w:rsid w:val="00365242"/>
    <w:rsid w:val="0037074E"/>
    <w:rsid w:val="003716BD"/>
    <w:rsid w:val="0037200A"/>
    <w:rsid w:val="00373768"/>
    <w:rsid w:val="00373E20"/>
    <w:rsid w:val="00374088"/>
    <w:rsid w:val="00374548"/>
    <w:rsid w:val="00374B64"/>
    <w:rsid w:val="00375424"/>
    <w:rsid w:val="003759E3"/>
    <w:rsid w:val="00375EF7"/>
    <w:rsid w:val="0037685F"/>
    <w:rsid w:val="00377217"/>
    <w:rsid w:val="003805B8"/>
    <w:rsid w:val="00380BEC"/>
    <w:rsid w:val="00380E97"/>
    <w:rsid w:val="00381547"/>
    <w:rsid w:val="003843B4"/>
    <w:rsid w:val="0038522C"/>
    <w:rsid w:val="00385457"/>
    <w:rsid w:val="003862EB"/>
    <w:rsid w:val="00386506"/>
    <w:rsid w:val="003912D8"/>
    <w:rsid w:val="003915D6"/>
    <w:rsid w:val="00393E8C"/>
    <w:rsid w:val="0039408B"/>
    <w:rsid w:val="003941D5"/>
    <w:rsid w:val="003945A8"/>
    <w:rsid w:val="003955F0"/>
    <w:rsid w:val="00395EE5"/>
    <w:rsid w:val="003961A6"/>
    <w:rsid w:val="0039711A"/>
    <w:rsid w:val="0039724E"/>
    <w:rsid w:val="003A115D"/>
    <w:rsid w:val="003A1DB6"/>
    <w:rsid w:val="003A2157"/>
    <w:rsid w:val="003A23CD"/>
    <w:rsid w:val="003A2404"/>
    <w:rsid w:val="003A2A7F"/>
    <w:rsid w:val="003A3ED5"/>
    <w:rsid w:val="003A3F01"/>
    <w:rsid w:val="003A5005"/>
    <w:rsid w:val="003A5C2F"/>
    <w:rsid w:val="003A6E78"/>
    <w:rsid w:val="003B099F"/>
    <w:rsid w:val="003B1083"/>
    <w:rsid w:val="003B1698"/>
    <w:rsid w:val="003B19DA"/>
    <w:rsid w:val="003B243A"/>
    <w:rsid w:val="003B2A11"/>
    <w:rsid w:val="003B4548"/>
    <w:rsid w:val="003B47F2"/>
    <w:rsid w:val="003B487F"/>
    <w:rsid w:val="003B561C"/>
    <w:rsid w:val="003B67A4"/>
    <w:rsid w:val="003C0512"/>
    <w:rsid w:val="003C0A80"/>
    <w:rsid w:val="003C36D7"/>
    <w:rsid w:val="003C409B"/>
    <w:rsid w:val="003C47B2"/>
    <w:rsid w:val="003C48FC"/>
    <w:rsid w:val="003C4A00"/>
    <w:rsid w:val="003C5067"/>
    <w:rsid w:val="003C5C6B"/>
    <w:rsid w:val="003C67C0"/>
    <w:rsid w:val="003C697E"/>
    <w:rsid w:val="003C69AC"/>
    <w:rsid w:val="003C7232"/>
    <w:rsid w:val="003C73A6"/>
    <w:rsid w:val="003C7F3A"/>
    <w:rsid w:val="003D0293"/>
    <w:rsid w:val="003D0FA6"/>
    <w:rsid w:val="003D1DD8"/>
    <w:rsid w:val="003D218C"/>
    <w:rsid w:val="003D325F"/>
    <w:rsid w:val="003D340B"/>
    <w:rsid w:val="003D3BEF"/>
    <w:rsid w:val="003D3DB8"/>
    <w:rsid w:val="003D572F"/>
    <w:rsid w:val="003D6CB6"/>
    <w:rsid w:val="003D6CCA"/>
    <w:rsid w:val="003D7269"/>
    <w:rsid w:val="003D758D"/>
    <w:rsid w:val="003D7DEF"/>
    <w:rsid w:val="003E0064"/>
    <w:rsid w:val="003E0718"/>
    <w:rsid w:val="003E2AA0"/>
    <w:rsid w:val="003E2FA7"/>
    <w:rsid w:val="003E42E3"/>
    <w:rsid w:val="003E6179"/>
    <w:rsid w:val="003E62ED"/>
    <w:rsid w:val="003E71B7"/>
    <w:rsid w:val="003F006A"/>
    <w:rsid w:val="003F1A87"/>
    <w:rsid w:val="003F393F"/>
    <w:rsid w:val="003F3D8A"/>
    <w:rsid w:val="003F455E"/>
    <w:rsid w:val="003F5214"/>
    <w:rsid w:val="003F585F"/>
    <w:rsid w:val="0040086F"/>
    <w:rsid w:val="00400CBB"/>
    <w:rsid w:val="00400DAB"/>
    <w:rsid w:val="00402A2D"/>
    <w:rsid w:val="00402E6A"/>
    <w:rsid w:val="00403EAD"/>
    <w:rsid w:val="00404D84"/>
    <w:rsid w:val="004059DF"/>
    <w:rsid w:val="00407A49"/>
    <w:rsid w:val="00407C07"/>
    <w:rsid w:val="00407E6B"/>
    <w:rsid w:val="00411907"/>
    <w:rsid w:val="00411D59"/>
    <w:rsid w:val="00412536"/>
    <w:rsid w:val="00412E67"/>
    <w:rsid w:val="00414D20"/>
    <w:rsid w:val="00414F6C"/>
    <w:rsid w:val="00415C9B"/>
    <w:rsid w:val="0041659E"/>
    <w:rsid w:val="00417819"/>
    <w:rsid w:val="00417E44"/>
    <w:rsid w:val="004201E3"/>
    <w:rsid w:val="00424053"/>
    <w:rsid w:val="004252DC"/>
    <w:rsid w:val="004254B5"/>
    <w:rsid w:val="0042571B"/>
    <w:rsid w:val="00425E93"/>
    <w:rsid w:val="00426978"/>
    <w:rsid w:val="00426C42"/>
    <w:rsid w:val="004275A9"/>
    <w:rsid w:val="004277D1"/>
    <w:rsid w:val="004279C2"/>
    <w:rsid w:val="00430C4F"/>
    <w:rsid w:val="00430DEA"/>
    <w:rsid w:val="00430E81"/>
    <w:rsid w:val="004334A0"/>
    <w:rsid w:val="004335E2"/>
    <w:rsid w:val="00433AA6"/>
    <w:rsid w:val="00433E00"/>
    <w:rsid w:val="00434058"/>
    <w:rsid w:val="00436C49"/>
    <w:rsid w:val="00437C5C"/>
    <w:rsid w:val="00440244"/>
    <w:rsid w:val="00440456"/>
    <w:rsid w:val="00440C28"/>
    <w:rsid w:val="00440ED3"/>
    <w:rsid w:val="00441772"/>
    <w:rsid w:val="00442E0F"/>
    <w:rsid w:val="004430A8"/>
    <w:rsid w:val="00444F11"/>
    <w:rsid w:val="00446422"/>
    <w:rsid w:val="004525DA"/>
    <w:rsid w:val="0045369F"/>
    <w:rsid w:val="00454783"/>
    <w:rsid w:val="00455D85"/>
    <w:rsid w:val="0045622E"/>
    <w:rsid w:val="004571E9"/>
    <w:rsid w:val="00457437"/>
    <w:rsid w:val="004612AE"/>
    <w:rsid w:val="00462405"/>
    <w:rsid w:val="00462666"/>
    <w:rsid w:val="00462838"/>
    <w:rsid w:val="00462B5A"/>
    <w:rsid w:val="00463218"/>
    <w:rsid w:val="004635A3"/>
    <w:rsid w:val="00463E26"/>
    <w:rsid w:val="00464015"/>
    <w:rsid w:val="0046404A"/>
    <w:rsid w:val="00464AD4"/>
    <w:rsid w:val="00464BB2"/>
    <w:rsid w:val="004655A4"/>
    <w:rsid w:val="00466C75"/>
    <w:rsid w:val="00466F5F"/>
    <w:rsid w:val="004717B9"/>
    <w:rsid w:val="00471DFC"/>
    <w:rsid w:val="0047330F"/>
    <w:rsid w:val="00473846"/>
    <w:rsid w:val="00473B85"/>
    <w:rsid w:val="004754F6"/>
    <w:rsid w:val="00475F53"/>
    <w:rsid w:val="004771E0"/>
    <w:rsid w:val="004776EB"/>
    <w:rsid w:val="00477B6E"/>
    <w:rsid w:val="00482DC6"/>
    <w:rsid w:val="00483014"/>
    <w:rsid w:val="004830AC"/>
    <w:rsid w:val="0048476D"/>
    <w:rsid w:val="004848A8"/>
    <w:rsid w:val="00484CAA"/>
    <w:rsid w:val="00484D2F"/>
    <w:rsid w:val="004850C6"/>
    <w:rsid w:val="00485F30"/>
    <w:rsid w:val="00486F8F"/>
    <w:rsid w:val="00487C08"/>
    <w:rsid w:val="004902C4"/>
    <w:rsid w:val="00490340"/>
    <w:rsid w:val="004908EE"/>
    <w:rsid w:val="00491957"/>
    <w:rsid w:val="004929B4"/>
    <w:rsid w:val="00493072"/>
    <w:rsid w:val="004947C9"/>
    <w:rsid w:val="00494BB8"/>
    <w:rsid w:val="004960B4"/>
    <w:rsid w:val="00496636"/>
    <w:rsid w:val="00496712"/>
    <w:rsid w:val="004A17F3"/>
    <w:rsid w:val="004A3CD1"/>
    <w:rsid w:val="004A4519"/>
    <w:rsid w:val="004A4C87"/>
    <w:rsid w:val="004A53A0"/>
    <w:rsid w:val="004B0202"/>
    <w:rsid w:val="004B1334"/>
    <w:rsid w:val="004B137A"/>
    <w:rsid w:val="004B29ED"/>
    <w:rsid w:val="004B2F53"/>
    <w:rsid w:val="004B4C44"/>
    <w:rsid w:val="004B6646"/>
    <w:rsid w:val="004B7954"/>
    <w:rsid w:val="004B7E43"/>
    <w:rsid w:val="004C1804"/>
    <w:rsid w:val="004C44B6"/>
    <w:rsid w:val="004C7336"/>
    <w:rsid w:val="004C754A"/>
    <w:rsid w:val="004D109E"/>
    <w:rsid w:val="004D1740"/>
    <w:rsid w:val="004D2935"/>
    <w:rsid w:val="004D2E16"/>
    <w:rsid w:val="004D38F9"/>
    <w:rsid w:val="004D51D6"/>
    <w:rsid w:val="004D5B27"/>
    <w:rsid w:val="004D6D03"/>
    <w:rsid w:val="004E177E"/>
    <w:rsid w:val="004E3F70"/>
    <w:rsid w:val="004E48A9"/>
    <w:rsid w:val="004E67F0"/>
    <w:rsid w:val="004E740F"/>
    <w:rsid w:val="004E7707"/>
    <w:rsid w:val="004F0AF1"/>
    <w:rsid w:val="004F0AF5"/>
    <w:rsid w:val="004F1C57"/>
    <w:rsid w:val="004F21AA"/>
    <w:rsid w:val="004F321C"/>
    <w:rsid w:val="004F357E"/>
    <w:rsid w:val="004F391B"/>
    <w:rsid w:val="004F3AB0"/>
    <w:rsid w:val="004F4C6B"/>
    <w:rsid w:val="004F555F"/>
    <w:rsid w:val="004F5D55"/>
    <w:rsid w:val="004F5D6D"/>
    <w:rsid w:val="004F617B"/>
    <w:rsid w:val="004F65FA"/>
    <w:rsid w:val="004F77FD"/>
    <w:rsid w:val="004F78AA"/>
    <w:rsid w:val="004F7971"/>
    <w:rsid w:val="005009BC"/>
    <w:rsid w:val="0050100C"/>
    <w:rsid w:val="005013D8"/>
    <w:rsid w:val="00501EEE"/>
    <w:rsid w:val="005023F9"/>
    <w:rsid w:val="00502B96"/>
    <w:rsid w:val="00502D82"/>
    <w:rsid w:val="00503EDB"/>
    <w:rsid w:val="00504102"/>
    <w:rsid w:val="0050460A"/>
    <w:rsid w:val="005047B4"/>
    <w:rsid w:val="00510253"/>
    <w:rsid w:val="0051089F"/>
    <w:rsid w:val="00510DE4"/>
    <w:rsid w:val="005150A2"/>
    <w:rsid w:val="00515719"/>
    <w:rsid w:val="005157BF"/>
    <w:rsid w:val="0051711F"/>
    <w:rsid w:val="005204F4"/>
    <w:rsid w:val="0052089E"/>
    <w:rsid w:val="005208E7"/>
    <w:rsid w:val="00520EBD"/>
    <w:rsid w:val="005213A2"/>
    <w:rsid w:val="0052199A"/>
    <w:rsid w:val="00522F21"/>
    <w:rsid w:val="005310FD"/>
    <w:rsid w:val="00531FB1"/>
    <w:rsid w:val="00533ABC"/>
    <w:rsid w:val="00534B9F"/>
    <w:rsid w:val="00535F7C"/>
    <w:rsid w:val="0054028E"/>
    <w:rsid w:val="00540574"/>
    <w:rsid w:val="00540A01"/>
    <w:rsid w:val="00540E57"/>
    <w:rsid w:val="005416D2"/>
    <w:rsid w:val="00542EB0"/>
    <w:rsid w:val="00543E12"/>
    <w:rsid w:val="0054573A"/>
    <w:rsid w:val="00545D58"/>
    <w:rsid w:val="00547F73"/>
    <w:rsid w:val="0055013A"/>
    <w:rsid w:val="00550CB9"/>
    <w:rsid w:val="00551694"/>
    <w:rsid w:val="00552F4F"/>
    <w:rsid w:val="005530A2"/>
    <w:rsid w:val="005548B0"/>
    <w:rsid w:val="00555612"/>
    <w:rsid w:val="005569C0"/>
    <w:rsid w:val="00556B98"/>
    <w:rsid w:val="00556C47"/>
    <w:rsid w:val="00557B54"/>
    <w:rsid w:val="00557C37"/>
    <w:rsid w:val="00560010"/>
    <w:rsid w:val="0056045A"/>
    <w:rsid w:val="00560A1D"/>
    <w:rsid w:val="00562062"/>
    <w:rsid w:val="00564C60"/>
    <w:rsid w:val="00564C7F"/>
    <w:rsid w:val="005702CF"/>
    <w:rsid w:val="00570C4D"/>
    <w:rsid w:val="00570EB7"/>
    <w:rsid w:val="00571033"/>
    <w:rsid w:val="0057199E"/>
    <w:rsid w:val="00571CCA"/>
    <w:rsid w:val="00571E5B"/>
    <w:rsid w:val="00572FB2"/>
    <w:rsid w:val="00577E85"/>
    <w:rsid w:val="00580FCF"/>
    <w:rsid w:val="00581045"/>
    <w:rsid w:val="005811AC"/>
    <w:rsid w:val="00582B61"/>
    <w:rsid w:val="00583EF3"/>
    <w:rsid w:val="00585029"/>
    <w:rsid w:val="00590276"/>
    <w:rsid w:val="0059245A"/>
    <w:rsid w:val="0059278E"/>
    <w:rsid w:val="00592AEB"/>
    <w:rsid w:val="00592DED"/>
    <w:rsid w:val="00593B13"/>
    <w:rsid w:val="0059427F"/>
    <w:rsid w:val="00594AA9"/>
    <w:rsid w:val="005950D8"/>
    <w:rsid w:val="00595666"/>
    <w:rsid w:val="00596035"/>
    <w:rsid w:val="005961B3"/>
    <w:rsid w:val="005A07E5"/>
    <w:rsid w:val="005A0D86"/>
    <w:rsid w:val="005A1303"/>
    <w:rsid w:val="005A1B00"/>
    <w:rsid w:val="005A2FE1"/>
    <w:rsid w:val="005A4461"/>
    <w:rsid w:val="005A4BAC"/>
    <w:rsid w:val="005A6940"/>
    <w:rsid w:val="005A6CB5"/>
    <w:rsid w:val="005A6FB7"/>
    <w:rsid w:val="005A7CD8"/>
    <w:rsid w:val="005B065F"/>
    <w:rsid w:val="005B0DDA"/>
    <w:rsid w:val="005B1193"/>
    <w:rsid w:val="005B1F74"/>
    <w:rsid w:val="005B217C"/>
    <w:rsid w:val="005B3E17"/>
    <w:rsid w:val="005B70E6"/>
    <w:rsid w:val="005B7C52"/>
    <w:rsid w:val="005C05F6"/>
    <w:rsid w:val="005C0847"/>
    <w:rsid w:val="005C0A40"/>
    <w:rsid w:val="005C0D8E"/>
    <w:rsid w:val="005C29F5"/>
    <w:rsid w:val="005C2C6E"/>
    <w:rsid w:val="005C2E40"/>
    <w:rsid w:val="005C320A"/>
    <w:rsid w:val="005C3220"/>
    <w:rsid w:val="005C49F1"/>
    <w:rsid w:val="005C55F3"/>
    <w:rsid w:val="005C6465"/>
    <w:rsid w:val="005C7231"/>
    <w:rsid w:val="005D0C7C"/>
    <w:rsid w:val="005D3A29"/>
    <w:rsid w:val="005D4C42"/>
    <w:rsid w:val="005D4CBE"/>
    <w:rsid w:val="005D6DB7"/>
    <w:rsid w:val="005D7CDC"/>
    <w:rsid w:val="005E0185"/>
    <w:rsid w:val="005E17E9"/>
    <w:rsid w:val="005E3CFF"/>
    <w:rsid w:val="005E3FF1"/>
    <w:rsid w:val="005E4AF7"/>
    <w:rsid w:val="005E4C4D"/>
    <w:rsid w:val="005E5351"/>
    <w:rsid w:val="005E6BE3"/>
    <w:rsid w:val="005E72FE"/>
    <w:rsid w:val="005E78F7"/>
    <w:rsid w:val="005E7A69"/>
    <w:rsid w:val="005E7EDD"/>
    <w:rsid w:val="005F19DA"/>
    <w:rsid w:val="005F1EE6"/>
    <w:rsid w:val="005F23AC"/>
    <w:rsid w:val="005F2782"/>
    <w:rsid w:val="005F2A35"/>
    <w:rsid w:val="005F3C04"/>
    <w:rsid w:val="005F4DBF"/>
    <w:rsid w:val="005F6E6B"/>
    <w:rsid w:val="005F73D4"/>
    <w:rsid w:val="00601110"/>
    <w:rsid w:val="0060129B"/>
    <w:rsid w:val="00601438"/>
    <w:rsid w:val="00602156"/>
    <w:rsid w:val="00602572"/>
    <w:rsid w:val="00602AE4"/>
    <w:rsid w:val="00602D48"/>
    <w:rsid w:val="006034C2"/>
    <w:rsid w:val="00604BD4"/>
    <w:rsid w:val="00607D22"/>
    <w:rsid w:val="006111F9"/>
    <w:rsid w:val="006122C3"/>
    <w:rsid w:val="00616647"/>
    <w:rsid w:val="00617DA4"/>
    <w:rsid w:val="00620B6C"/>
    <w:rsid w:val="006224A1"/>
    <w:rsid w:val="006224D2"/>
    <w:rsid w:val="00622C4D"/>
    <w:rsid w:val="006235ED"/>
    <w:rsid w:val="00625136"/>
    <w:rsid w:val="00625881"/>
    <w:rsid w:val="00625D58"/>
    <w:rsid w:val="00630419"/>
    <w:rsid w:val="006305FB"/>
    <w:rsid w:val="00630BFB"/>
    <w:rsid w:val="00630CDE"/>
    <w:rsid w:val="006323AB"/>
    <w:rsid w:val="00633645"/>
    <w:rsid w:val="00634FEC"/>
    <w:rsid w:val="00636352"/>
    <w:rsid w:val="00636855"/>
    <w:rsid w:val="00636A78"/>
    <w:rsid w:val="00636EF9"/>
    <w:rsid w:val="00637858"/>
    <w:rsid w:val="00637DFD"/>
    <w:rsid w:val="00641B1F"/>
    <w:rsid w:val="00641B23"/>
    <w:rsid w:val="00641CA8"/>
    <w:rsid w:val="0064228F"/>
    <w:rsid w:val="00642F00"/>
    <w:rsid w:val="006437A6"/>
    <w:rsid w:val="00643B92"/>
    <w:rsid w:val="00645398"/>
    <w:rsid w:val="00650A19"/>
    <w:rsid w:val="00650CEE"/>
    <w:rsid w:val="00651002"/>
    <w:rsid w:val="00651696"/>
    <w:rsid w:val="006541A1"/>
    <w:rsid w:val="0065461A"/>
    <w:rsid w:val="0065477B"/>
    <w:rsid w:val="00654E0A"/>
    <w:rsid w:val="006614AF"/>
    <w:rsid w:val="006617FB"/>
    <w:rsid w:val="006633DB"/>
    <w:rsid w:val="006634B3"/>
    <w:rsid w:val="00664042"/>
    <w:rsid w:val="00664628"/>
    <w:rsid w:val="0067172F"/>
    <w:rsid w:val="00671FD6"/>
    <w:rsid w:val="0067270F"/>
    <w:rsid w:val="0067489E"/>
    <w:rsid w:val="006778B6"/>
    <w:rsid w:val="006816DC"/>
    <w:rsid w:val="00682527"/>
    <w:rsid w:val="006825CA"/>
    <w:rsid w:val="00682D4F"/>
    <w:rsid w:val="0068346E"/>
    <w:rsid w:val="00685456"/>
    <w:rsid w:val="00686A8C"/>
    <w:rsid w:val="00687542"/>
    <w:rsid w:val="00687B99"/>
    <w:rsid w:val="0069318A"/>
    <w:rsid w:val="00693A66"/>
    <w:rsid w:val="006950AF"/>
    <w:rsid w:val="00695298"/>
    <w:rsid w:val="006958FB"/>
    <w:rsid w:val="00696FCE"/>
    <w:rsid w:val="0069773A"/>
    <w:rsid w:val="006A09C6"/>
    <w:rsid w:val="006A0C38"/>
    <w:rsid w:val="006A1046"/>
    <w:rsid w:val="006A251F"/>
    <w:rsid w:val="006A2A53"/>
    <w:rsid w:val="006A32F1"/>
    <w:rsid w:val="006A4603"/>
    <w:rsid w:val="006A51A0"/>
    <w:rsid w:val="006A56B2"/>
    <w:rsid w:val="006A65B6"/>
    <w:rsid w:val="006A7D7C"/>
    <w:rsid w:val="006B0CF4"/>
    <w:rsid w:val="006B1143"/>
    <w:rsid w:val="006B1BF5"/>
    <w:rsid w:val="006B20BA"/>
    <w:rsid w:val="006B2969"/>
    <w:rsid w:val="006B2C0A"/>
    <w:rsid w:val="006B2E21"/>
    <w:rsid w:val="006B3EA8"/>
    <w:rsid w:val="006B424E"/>
    <w:rsid w:val="006B44A6"/>
    <w:rsid w:val="006B4971"/>
    <w:rsid w:val="006B5A51"/>
    <w:rsid w:val="006B5ECA"/>
    <w:rsid w:val="006B5EE0"/>
    <w:rsid w:val="006B5F5F"/>
    <w:rsid w:val="006B6CC1"/>
    <w:rsid w:val="006B6F3B"/>
    <w:rsid w:val="006B7B1B"/>
    <w:rsid w:val="006C4DB8"/>
    <w:rsid w:val="006C4E9D"/>
    <w:rsid w:val="006C52FF"/>
    <w:rsid w:val="006C57B8"/>
    <w:rsid w:val="006C57C1"/>
    <w:rsid w:val="006C5A77"/>
    <w:rsid w:val="006C6BBF"/>
    <w:rsid w:val="006C70B8"/>
    <w:rsid w:val="006D1388"/>
    <w:rsid w:val="006D1598"/>
    <w:rsid w:val="006D1F2C"/>
    <w:rsid w:val="006D2021"/>
    <w:rsid w:val="006D2619"/>
    <w:rsid w:val="006D29E2"/>
    <w:rsid w:val="006D29EF"/>
    <w:rsid w:val="006D2A12"/>
    <w:rsid w:val="006D3270"/>
    <w:rsid w:val="006D3704"/>
    <w:rsid w:val="006D46A5"/>
    <w:rsid w:val="006D5AE3"/>
    <w:rsid w:val="006D5BE5"/>
    <w:rsid w:val="006E1CDE"/>
    <w:rsid w:val="006E3C35"/>
    <w:rsid w:val="006E615D"/>
    <w:rsid w:val="006E6F15"/>
    <w:rsid w:val="006F02BB"/>
    <w:rsid w:val="006F0341"/>
    <w:rsid w:val="006F066C"/>
    <w:rsid w:val="006F0D44"/>
    <w:rsid w:val="006F1F3E"/>
    <w:rsid w:val="006F42F6"/>
    <w:rsid w:val="006F4930"/>
    <w:rsid w:val="006F527B"/>
    <w:rsid w:val="006F52BE"/>
    <w:rsid w:val="006F6236"/>
    <w:rsid w:val="007004A3"/>
    <w:rsid w:val="007011C9"/>
    <w:rsid w:val="007022D4"/>
    <w:rsid w:val="0070250C"/>
    <w:rsid w:val="00702707"/>
    <w:rsid w:val="00702D56"/>
    <w:rsid w:val="00703448"/>
    <w:rsid w:val="00703C70"/>
    <w:rsid w:val="00704F31"/>
    <w:rsid w:val="007059EC"/>
    <w:rsid w:val="00705B92"/>
    <w:rsid w:val="00706002"/>
    <w:rsid w:val="00706A0B"/>
    <w:rsid w:val="007079E1"/>
    <w:rsid w:val="0071210F"/>
    <w:rsid w:val="00712A2E"/>
    <w:rsid w:val="00713338"/>
    <w:rsid w:val="007133A5"/>
    <w:rsid w:val="00714041"/>
    <w:rsid w:val="00715747"/>
    <w:rsid w:val="00715D64"/>
    <w:rsid w:val="007167DA"/>
    <w:rsid w:val="00716B32"/>
    <w:rsid w:val="00717429"/>
    <w:rsid w:val="00717EE0"/>
    <w:rsid w:val="00720516"/>
    <w:rsid w:val="00722E6E"/>
    <w:rsid w:val="00723A1B"/>
    <w:rsid w:val="007255E9"/>
    <w:rsid w:val="0072634A"/>
    <w:rsid w:val="00726847"/>
    <w:rsid w:val="00726BBF"/>
    <w:rsid w:val="00727B55"/>
    <w:rsid w:val="00727FC5"/>
    <w:rsid w:val="007315BC"/>
    <w:rsid w:val="00732C48"/>
    <w:rsid w:val="00733D41"/>
    <w:rsid w:val="00734D9F"/>
    <w:rsid w:val="00736CC0"/>
    <w:rsid w:val="00736D07"/>
    <w:rsid w:val="00737737"/>
    <w:rsid w:val="007378C7"/>
    <w:rsid w:val="007400AD"/>
    <w:rsid w:val="007409EC"/>
    <w:rsid w:val="00740DA4"/>
    <w:rsid w:val="007437E6"/>
    <w:rsid w:val="00743861"/>
    <w:rsid w:val="00743BA2"/>
    <w:rsid w:val="00745278"/>
    <w:rsid w:val="007460E0"/>
    <w:rsid w:val="00747EBF"/>
    <w:rsid w:val="00750F10"/>
    <w:rsid w:val="00751178"/>
    <w:rsid w:val="00751D40"/>
    <w:rsid w:val="00753B04"/>
    <w:rsid w:val="00754C10"/>
    <w:rsid w:val="00754FE2"/>
    <w:rsid w:val="00756161"/>
    <w:rsid w:val="0075685F"/>
    <w:rsid w:val="00756AFF"/>
    <w:rsid w:val="007600D6"/>
    <w:rsid w:val="007604F0"/>
    <w:rsid w:val="007606B5"/>
    <w:rsid w:val="007608E9"/>
    <w:rsid w:val="00760BE3"/>
    <w:rsid w:val="00760FA3"/>
    <w:rsid w:val="00762AE6"/>
    <w:rsid w:val="007633AB"/>
    <w:rsid w:val="00763F74"/>
    <w:rsid w:val="00766C87"/>
    <w:rsid w:val="00767347"/>
    <w:rsid w:val="00767FDF"/>
    <w:rsid w:val="0077212B"/>
    <w:rsid w:val="00772207"/>
    <w:rsid w:val="00773097"/>
    <w:rsid w:val="00775755"/>
    <w:rsid w:val="007760C9"/>
    <w:rsid w:val="00776566"/>
    <w:rsid w:val="007801A7"/>
    <w:rsid w:val="0078149C"/>
    <w:rsid w:val="00781A8B"/>
    <w:rsid w:val="00782018"/>
    <w:rsid w:val="00782AEF"/>
    <w:rsid w:val="0078607D"/>
    <w:rsid w:val="00787366"/>
    <w:rsid w:val="00790E08"/>
    <w:rsid w:val="00790F89"/>
    <w:rsid w:val="007918E8"/>
    <w:rsid w:val="00793DB2"/>
    <w:rsid w:val="00796BAD"/>
    <w:rsid w:val="00796E8C"/>
    <w:rsid w:val="00796FEB"/>
    <w:rsid w:val="007A0DA8"/>
    <w:rsid w:val="007A1740"/>
    <w:rsid w:val="007A1F5C"/>
    <w:rsid w:val="007A296E"/>
    <w:rsid w:val="007A34F5"/>
    <w:rsid w:val="007A3B2E"/>
    <w:rsid w:val="007A5AE3"/>
    <w:rsid w:val="007A69A5"/>
    <w:rsid w:val="007A6E6E"/>
    <w:rsid w:val="007A7941"/>
    <w:rsid w:val="007B037C"/>
    <w:rsid w:val="007B1B91"/>
    <w:rsid w:val="007B2547"/>
    <w:rsid w:val="007B2913"/>
    <w:rsid w:val="007B4441"/>
    <w:rsid w:val="007B4B2F"/>
    <w:rsid w:val="007B5797"/>
    <w:rsid w:val="007B5D98"/>
    <w:rsid w:val="007B6184"/>
    <w:rsid w:val="007B7441"/>
    <w:rsid w:val="007B7A3C"/>
    <w:rsid w:val="007C0351"/>
    <w:rsid w:val="007C0481"/>
    <w:rsid w:val="007C11CC"/>
    <w:rsid w:val="007C18ED"/>
    <w:rsid w:val="007C1AF5"/>
    <w:rsid w:val="007C2DE7"/>
    <w:rsid w:val="007C34DB"/>
    <w:rsid w:val="007C4778"/>
    <w:rsid w:val="007C5256"/>
    <w:rsid w:val="007C7979"/>
    <w:rsid w:val="007C7B2B"/>
    <w:rsid w:val="007D0391"/>
    <w:rsid w:val="007D09FA"/>
    <w:rsid w:val="007D0D03"/>
    <w:rsid w:val="007D0D7B"/>
    <w:rsid w:val="007D12DC"/>
    <w:rsid w:val="007D2637"/>
    <w:rsid w:val="007D29C4"/>
    <w:rsid w:val="007D2C6F"/>
    <w:rsid w:val="007D2C99"/>
    <w:rsid w:val="007D2E77"/>
    <w:rsid w:val="007D39FC"/>
    <w:rsid w:val="007D3BB5"/>
    <w:rsid w:val="007D4916"/>
    <w:rsid w:val="007D4AFD"/>
    <w:rsid w:val="007D4F72"/>
    <w:rsid w:val="007E03DD"/>
    <w:rsid w:val="007E07AF"/>
    <w:rsid w:val="007E15C2"/>
    <w:rsid w:val="007E16C6"/>
    <w:rsid w:val="007E24DC"/>
    <w:rsid w:val="007E2D91"/>
    <w:rsid w:val="007E5693"/>
    <w:rsid w:val="007E61B8"/>
    <w:rsid w:val="007E6628"/>
    <w:rsid w:val="007E6981"/>
    <w:rsid w:val="007E6DC2"/>
    <w:rsid w:val="007E6F65"/>
    <w:rsid w:val="007E7578"/>
    <w:rsid w:val="007F10D9"/>
    <w:rsid w:val="007F1525"/>
    <w:rsid w:val="007F2592"/>
    <w:rsid w:val="007F2926"/>
    <w:rsid w:val="007F2A29"/>
    <w:rsid w:val="007F3BC3"/>
    <w:rsid w:val="007F5E91"/>
    <w:rsid w:val="007F5F26"/>
    <w:rsid w:val="007F63DD"/>
    <w:rsid w:val="007F6A54"/>
    <w:rsid w:val="007F7158"/>
    <w:rsid w:val="007F7602"/>
    <w:rsid w:val="008012BD"/>
    <w:rsid w:val="00801516"/>
    <w:rsid w:val="00801DDA"/>
    <w:rsid w:val="00802162"/>
    <w:rsid w:val="00802B5F"/>
    <w:rsid w:val="00803A19"/>
    <w:rsid w:val="00803B86"/>
    <w:rsid w:val="008050CA"/>
    <w:rsid w:val="00805492"/>
    <w:rsid w:val="00805E25"/>
    <w:rsid w:val="00806600"/>
    <w:rsid w:val="00806A32"/>
    <w:rsid w:val="00810059"/>
    <w:rsid w:val="00814431"/>
    <w:rsid w:val="0081510C"/>
    <w:rsid w:val="0081602A"/>
    <w:rsid w:val="00816886"/>
    <w:rsid w:val="0081708C"/>
    <w:rsid w:val="008177C6"/>
    <w:rsid w:val="00817A30"/>
    <w:rsid w:val="00817F47"/>
    <w:rsid w:val="0082110D"/>
    <w:rsid w:val="0082146C"/>
    <w:rsid w:val="00821F2E"/>
    <w:rsid w:val="008233A0"/>
    <w:rsid w:val="0082391C"/>
    <w:rsid w:val="00824CE1"/>
    <w:rsid w:val="008255D7"/>
    <w:rsid w:val="008255DF"/>
    <w:rsid w:val="008260C7"/>
    <w:rsid w:val="00826F2F"/>
    <w:rsid w:val="00827F30"/>
    <w:rsid w:val="00834408"/>
    <w:rsid w:val="00835CBC"/>
    <w:rsid w:val="008369C6"/>
    <w:rsid w:val="00840E5F"/>
    <w:rsid w:val="00841652"/>
    <w:rsid w:val="008439D6"/>
    <w:rsid w:val="00843BBC"/>
    <w:rsid w:val="00844117"/>
    <w:rsid w:val="00844285"/>
    <w:rsid w:val="008446B2"/>
    <w:rsid w:val="00844EFD"/>
    <w:rsid w:val="00845D19"/>
    <w:rsid w:val="00845FEF"/>
    <w:rsid w:val="00846DBE"/>
    <w:rsid w:val="0085129B"/>
    <w:rsid w:val="008515A5"/>
    <w:rsid w:val="00852413"/>
    <w:rsid w:val="008543C1"/>
    <w:rsid w:val="00854558"/>
    <w:rsid w:val="00856378"/>
    <w:rsid w:val="00857FE9"/>
    <w:rsid w:val="0086037F"/>
    <w:rsid w:val="008618B5"/>
    <w:rsid w:val="00862850"/>
    <w:rsid w:val="00863283"/>
    <w:rsid w:val="0086494B"/>
    <w:rsid w:val="008659CD"/>
    <w:rsid w:val="0086627F"/>
    <w:rsid w:val="008702FB"/>
    <w:rsid w:val="008704F4"/>
    <w:rsid w:val="0087073E"/>
    <w:rsid w:val="00871239"/>
    <w:rsid w:val="00872421"/>
    <w:rsid w:val="00872FFC"/>
    <w:rsid w:val="008749D4"/>
    <w:rsid w:val="0087585B"/>
    <w:rsid w:val="0087715B"/>
    <w:rsid w:val="00880370"/>
    <w:rsid w:val="00880E47"/>
    <w:rsid w:val="0088213A"/>
    <w:rsid w:val="00882854"/>
    <w:rsid w:val="00885105"/>
    <w:rsid w:val="008857E6"/>
    <w:rsid w:val="00886B07"/>
    <w:rsid w:val="00886DB8"/>
    <w:rsid w:val="008927CB"/>
    <w:rsid w:val="00895455"/>
    <w:rsid w:val="008966F6"/>
    <w:rsid w:val="008A059E"/>
    <w:rsid w:val="008A06AC"/>
    <w:rsid w:val="008A0F95"/>
    <w:rsid w:val="008A19D3"/>
    <w:rsid w:val="008A3F23"/>
    <w:rsid w:val="008A490B"/>
    <w:rsid w:val="008B0F63"/>
    <w:rsid w:val="008B1E15"/>
    <w:rsid w:val="008B3235"/>
    <w:rsid w:val="008B36EA"/>
    <w:rsid w:val="008B70DB"/>
    <w:rsid w:val="008C0760"/>
    <w:rsid w:val="008C1595"/>
    <w:rsid w:val="008C1F7E"/>
    <w:rsid w:val="008C313F"/>
    <w:rsid w:val="008C35E7"/>
    <w:rsid w:val="008C3B98"/>
    <w:rsid w:val="008C41B1"/>
    <w:rsid w:val="008C4CFC"/>
    <w:rsid w:val="008C5053"/>
    <w:rsid w:val="008C515F"/>
    <w:rsid w:val="008C56B1"/>
    <w:rsid w:val="008C5B1A"/>
    <w:rsid w:val="008C5F14"/>
    <w:rsid w:val="008C5F96"/>
    <w:rsid w:val="008C73FC"/>
    <w:rsid w:val="008D11A2"/>
    <w:rsid w:val="008D1D66"/>
    <w:rsid w:val="008D22CB"/>
    <w:rsid w:val="008D2C49"/>
    <w:rsid w:val="008D4407"/>
    <w:rsid w:val="008D48E8"/>
    <w:rsid w:val="008D4917"/>
    <w:rsid w:val="008D4BE5"/>
    <w:rsid w:val="008D5A78"/>
    <w:rsid w:val="008D6990"/>
    <w:rsid w:val="008E0FDF"/>
    <w:rsid w:val="008E14B0"/>
    <w:rsid w:val="008E1B5A"/>
    <w:rsid w:val="008E206E"/>
    <w:rsid w:val="008E251F"/>
    <w:rsid w:val="008E26AF"/>
    <w:rsid w:val="008E3A50"/>
    <w:rsid w:val="008E472A"/>
    <w:rsid w:val="008E4E0D"/>
    <w:rsid w:val="008E53B9"/>
    <w:rsid w:val="008E588E"/>
    <w:rsid w:val="008E5AC8"/>
    <w:rsid w:val="008E5F8E"/>
    <w:rsid w:val="008E61E3"/>
    <w:rsid w:val="008F01C7"/>
    <w:rsid w:val="008F05F4"/>
    <w:rsid w:val="008F1866"/>
    <w:rsid w:val="008F32E8"/>
    <w:rsid w:val="008F4316"/>
    <w:rsid w:val="008F5151"/>
    <w:rsid w:val="008F5B79"/>
    <w:rsid w:val="008F5CF7"/>
    <w:rsid w:val="008F644D"/>
    <w:rsid w:val="008F776A"/>
    <w:rsid w:val="0090135C"/>
    <w:rsid w:val="00901526"/>
    <w:rsid w:val="009018FD"/>
    <w:rsid w:val="00902566"/>
    <w:rsid w:val="00902ADF"/>
    <w:rsid w:val="00904AD6"/>
    <w:rsid w:val="00904D03"/>
    <w:rsid w:val="0090625F"/>
    <w:rsid w:val="00910786"/>
    <w:rsid w:val="00910D82"/>
    <w:rsid w:val="00911581"/>
    <w:rsid w:val="009118A8"/>
    <w:rsid w:val="0091214F"/>
    <w:rsid w:val="0091241D"/>
    <w:rsid w:val="00913AA0"/>
    <w:rsid w:val="00913AFA"/>
    <w:rsid w:val="00913B99"/>
    <w:rsid w:val="00913D54"/>
    <w:rsid w:val="009162EC"/>
    <w:rsid w:val="00916362"/>
    <w:rsid w:val="009170B3"/>
    <w:rsid w:val="00917491"/>
    <w:rsid w:val="00922083"/>
    <w:rsid w:val="00922457"/>
    <w:rsid w:val="0092503F"/>
    <w:rsid w:val="00925855"/>
    <w:rsid w:val="00926A14"/>
    <w:rsid w:val="00926E95"/>
    <w:rsid w:val="009278B5"/>
    <w:rsid w:val="009308F4"/>
    <w:rsid w:val="00931E0E"/>
    <w:rsid w:val="0093321F"/>
    <w:rsid w:val="00933881"/>
    <w:rsid w:val="00933EA0"/>
    <w:rsid w:val="009357C9"/>
    <w:rsid w:val="009364E7"/>
    <w:rsid w:val="009370C2"/>
    <w:rsid w:val="009372FA"/>
    <w:rsid w:val="009413E6"/>
    <w:rsid w:val="00944A12"/>
    <w:rsid w:val="00945087"/>
    <w:rsid w:val="00945321"/>
    <w:rsid w:val="009456F0"/>
    <w:rsid w:val="00946D72"/>
    <w:rsid w:val="00950986"/>
    <w:rsid w:val="009515B5"/>
    <w:rsid w:val="009530F9"/>
    <w:rsid w:val="00953241"/>
    <w:rsid w:val="0095349A"/>
    <w:rsid w:val="009545D0"/>
    <w:rsid w:val="00956293"/>
    <w:rsid w:val="00956BD4"/>
    <w:rsid w:val="00957A79"/>
    <w:rsid w:val="0096030D"/>
    <w:rsid w:val="009604EF"/>
    <w:rsid w:val="009618E5"/>
    <w:rsid w:val="0096206D"/>
    <w:rsid w:val="0096250B"/>
    <w:rsid w:val="00962BFF"/>
    <w:rsid w:val="00963183"/>
    <w:rsid w:val="009633CD"/>
    <w:rsid w:val="00964201"/>
    <w:rsid w:val="00964A89"/>
    <w:rsid w:val="00965C37"/>
    <w:rsid w:val="009664CD"/>
    <w:rsid w:val="009665EB"/>
    <w:rsid w:val="00966DB1"/>
    <w:rsid w:val="00967409"/>
    <w:rsid w:val="00967C8B"/>
    <w:rsid w:val="00970517"/>
    <w:rsid w:val="00970D25"/>
    <w:rsid w:val="00971545"/>
    <w:rsid w:val="009718A8"/>
    <w:rsid w:val="0097198E"/>
    <w:rsid w:val="00971AA5"/>
    <w:rsid w:val="00971C1E"/>
    <w:rsid w:val="00971DC4"/>
    <w:rsid w:val="009724DB"/>
    <w:rsid w:val="00972524"/>
    <w:rsid w:val="009732BE"/>
    <w:rsid w:val="00973822"/>
    <w:rsid w:val="00973CCB"/>
    <w:rsid w:val="0097504F"/>
    <w:rsid w:val="00976165"/>
    <w:rsid w:val="00977275"/>
    <w:rsid w:val="0098065E"/>
    <w:rsid w:val="009810CE"/>
    <w:rsid w:val="00981831"/>
    <w:rsid w:val="00981A88"/>
    <w:rsid w:val="00981C12"/>
    <w:rsid w:val="009827C9"/>
    <w:rsid w:val="0098386F"/>
    <w:rsid w:val="009838FF"/>
    <w:rsid w:val="00983D9C"/>
    <w:rsid w:val="00983DBB"/>
    <w:rsid w:val="00983E27"/>
    <w:rsid w:val="0098533F"/>
    <w:rsid w:val="0098549D"/>
    <w:rsid w:val="00985DAD"/>
    <w:rsid w:val="00990304"/>
    <w:rsid w:val="009913CE"/>
    <w:rsid w:val="00992125"/>
    <w:rsid w:val="0099217C"/>
    <w:rsid w:val="009923E6"/>
    <w:rsid w:val="00992C8D"/>
    <w:rsid w:val="00993343"/>
    <w:rsid w:val="00993972"/>
    <w:rsid w:val="00994797"/>
    <w:rsid w:val="00994AD4"/>
    <w:rsid w:val="009958E9"/>
    <w:rsid w:val="00996432"/>
    <w:rsid w:val="009968AC"/>
    <w:rsid w:val="00997BC9"/>
    <w:rsid w:val="009A03B1"/>
    <w:rsid w:val="009A0BC7"/>
    <w:rsid w:val="009A1D0B"/>
    <w:rsid w:val="009A2022"/>
    <w:rsid w:val="009A3A07"/>
    <w:rsid w:val="009A3E50"/>
    <w:rsid w:val="009A5653"/>
    <w:rsid w:val="009A62D5"/>
    <w:rsid w:val="009A6D8F"/>
    <w:rsid w:val="009A724D"/>
    <w:rsid w:val="009B0503"/>
    <w:rsid w:val="009B235F"/>
    <w:rsid w:val="009B374A"/>
    <w:rsid w:val="009B5A0D"/>
    <w:rsid w:val="009B5CC3"/>
    <w:rsid w:val="009C321F"/>
    <w:rsid w:val="009C371F"/>
    <w:rsid w:val="009C3C31"/>
    <w:rsid w:val="009C4510"/>
    <w:rsid w:val="009C5140"/>
    <w:rsid w:val="009C57DD"/>
    <w:rsid w:val="009C688A"/>
    <w:rsid w:val="009C6C18"/>
    <w:rsid w:val="009C76D0"/>
    <w:rsid w:val="009C7B98"/>
    <w:rsid w:val="009D069F"/>
    <w:rsid w:val="009D0F87"/>
    <w:rsid w:val="009D2EFB"/>
    <w:rsid w:val="009D33BC"/>
    <w:rsid w:val="009D4121"/>
    <w:rsid w:val="009D4C76"/>
    <w:rsid w:val="009D520C"/>
    <w:rsid w:val="009D6123"/>
    <w:rsid w:val="009D6C17"/>
    <w:rsid w:val="009D6ECC"/>
    <w:rsid w:val="009D720A"/>
    <w:rsid w:val="009D7BB7"/>
    <w:rsid w:val="009E0E6F"/>
    <w:rsid w:val="009E1524"/>
    <w:rsid w:val="009E15EC"/>
    <w:rsid w:val="009E2017"/>
    <w:rsid w:val="009E20B6"/>
    <w:rsid w:val="009E2133"/>
    <w:rsid w:val="009E41DC"/>
    <w:rsid w:val="009E4A4E"/>
    <w:rsid w:val="009E4E9E"/>
    <w:rsid w:val="009E5CEC"/>
    <w:rsid w:val="009F161E"/>
    <w:rsid w:val="009F2CEE"/>
    <w:rsid w:val="009F303C"/>
    <w:rsid w:val="009F44B9"/>
    <w:rsid w:val="009F6C7D"/>
    <w:rsid w:val="009F6E60"/>
    <w:rsid w:val="009F7F16"/>
    <w:rsid w:val="00A02455"/>
    <w:rsid w:val="00A026DB"/>
    <w:rsid w:val="00A02DB2"/>
    <w:rsid w:val="00A04CC2"/>
    <w:rsid w:val="00A04E96"/>
    <w:rsid w:val="00A06B8A"/>
    <w:rsid w:val="00A07192"/>
    <w:rsid w:val="00A0764A"/>
    <w:rsid w:val="00A076EF"/>
    <w:rsid w:val="00A07704"/>
    <w:rsid w:val="00A1196C"/>
    <w:rsid w:val="00A12255"/>
    <w:rsid w:val="00A13350"/>
    <w:rsid w:val="00A13F9B"/>
    <w:rsid w:val="00A144BD"/>
    <w:rsid w:val="00A151E3"/>
    <w:rsid w:val="00A155EE"/>
    <w:rsid w:val="00A163A7"/>
    <w:rsid w:val="00A16853"/>
    <w:rsid w:val="00A17075"/>
    <w:rsid w:val="00A17D9F"/>
    <w:rsid w:val="00A212A2"/>
    <w:rsid w:val="00A21EE6"/>
    <w:rsid w:val="00A222A2"/>
    <w:rsid w:val="00A23D63"/>
    <w:rsid w:val="00A240F4"/>
    <w:rsid w:val="00A2577A"/>
    <w:rsid w:val="00A26B44"/>
    <w:rsid w:val="00A26F4C"/>
    <w:rsid w:val="00A3095E"/>
    <w:rsid w:val="00A32865"/>
    <w:rsid w:val="00A362FF"/>
    <w:rsid w:val="00A363AA"/>
    <w:rsid w:val="00A366F0"/>
    <w:rsid w:val="00A36A4B"/>
    <w:rsid w:val="00A36E02"/>
    <w:rsid w:val="00A37148"/>
    <w:rsid w:val="00A372C0"/>
    <w:rsid w:val="00A374A3"/>
    <w:rsid w:val="00A4085C"/>
    <w:rsid w:val="00A423D0"/>
    <w:rsid w:val="00A43D1B"/>
    <w:rsid w:val="00A45963"/>
    <w:rsid w:val="00A51159"/>
    <w:rsid w:val="00A51C4C"/>
    <w:rsid w:val="00A524DF"/>
    <w:rsid w:val="00A54A17"/>
    <w:rsid w:val="00A55405"/>
    <w:rsid w:val="00A5568C"/>
    <w:rsid w:val="00A5776D"/>
    <w:rsid w:val="00A602EA"/>
    <w:rsid w:val="00A603B5"/>
    <w:rsid w:val="00A61C0E"/>
    <w:rsid w:val="00A61C0F"/>
    <w:rsid w:val="00A6353F"/>
    <w:rsid w:val="00A6412E"/>
    <w:rsid w:val="00A64825"/>
    <w:rsid w:val="00A655C4"/>
    <w:rsid w:val="00A65A85"/>
    <w:rsid w:val="00A6764E"/>
    <w:rsid w:val="00A67A45"/>
    <w:rsid w:val="00A71996"/>
    <w:rsid w:val="00A71ACC"/>
    <w:rsid w:val="00A73A4D"/>
    <w:rsid w:val="00A745AF"/>
    <w:rsid w:val="00A7580A"/>
    <w:rsid w:val="00A818D7"/>
    <w:rsid w:val="00A81BBC"/>
    <w:rsid w:val="00A83BF2"/>
    <w:rsid w:val="00A84CBE"/>
    <w:rsid w:val="00A854D4"/>
    <w:rsid w:val="00A85741"/>
    <w:rsid w:val="00A86F1B"/>
    <w:rsid w:val="00A87506"/>
    <w:rsid w:val="00A87D3F"/>
    <w:rsid w:val="00A90022"/>
    <w:rsid w:val="00A91464"/>
    <w:rsid w:val="00A91E34"/>
    <w:rsid w:val="00A9249F"/>
    <w:rsid w:val="00A9263B"/>
    <w:rsid w:val="00A92D92"/>
    <w:rsid w:val="00A92EB5"/>
    <w:rsid w:val="00A931BC"/>
    <w:rsid w:val="00A94682"/>
    <w:rsid w:val="00A94988"/>
    <w:rsid w:val="00A95932"/>
    <w:rsid w:val="00A95C76"/>
    <w:rsid w:val="00AA121E"/>
    <w:rsid w:val="00AA1E9F"/>
    <w:rsid w:val="00AA28B1"/>
    <w:rsid w:val="00AA4361"/>
    <w:rsid w:val="00AA46CC"/>
    <w:rsid w:val="00AA4A4B"/>
    <w:rsid w:val="00AA5983"/>
    <w:rsid w:val="00AA5ED2"/>
    <w:rsid w:val="00AA6045"/>
    <w:rsid w:val="00AA698A"/>
    <w:rsid w:val="00AA7868"/>
    <w:rsid w:val="00AA7A83"/>
    <w:rsid w:val="00AB0265"/>
    <w:rsid w:val="00AB24EB"/>
    <w:rsid w:val="00AB30C5"/>
    <w:rsid w:val="00AB4F18"/>
    <w:rsid w:val="00AB5469"/>
    <w:rsid w:val="00AB5CE2"/>
    <w:rsid w:val="00AB67A1"/>
    <w:rsid w:val="00AB6B22"/>
    <w:rsid w:val="00AB6E5A"/>
    <w:rsid w:val="00AC0188"/>
    <w:rsid w:val="00AC05D7"/>
    <w:rsid w:val="00AC2FB6"/>
    <w:rsid w:val="00AC35CD"/>
    <w:rsid w:val="00AC3F23"/>
    <w:rsid w:val="00AD1CCE"/>
    <w:rsid w:val="00AD2C9A"/>
    <w:rsid w:val="00AD2ECF"/>
    <w:rsid w:val="00AD4396"/>
    <w:rsid w:val="00AD4FE5"/>
    <w:rsid w:val="00AD57BA"/>
    <w:rsid w:val="00AD7988"/>
    <w:rsid w:val="00AD7FE9"/>
    <w:rsid w:val="00AE1FFB"/>
    <w:rsid w:val="00AE217E"/>
    <w:rsid w:val="00AE3993"/>
    <w:rsid w:val="00AE5884"/>
    <w:rsid w:val="00AE770F"/>
    <w:rsid w:val="00AF0AF0"/>
    <w:rsid w:val="00AF4487"/>
    <w:rsid w:val="00AF46D2"/>
    <w:rsid w:val="00AF4BE9"/>
    <w:rsid w:val="00B022D4"/>
    <w:rsid w:val="00B038C2"/>
    <w:rsid w:val="00B05455"/>
    <w:rsid w:val="00B054B1"/>
    <w:rsid w:val="00B05692"/>
    <w:rsid w:val="00B0692A"/>
    <w:rsid w:val="00B1086A"/>
    <w:rsid w:val="00B10CE4"/>
    <w:rsid w:val="00B11579"/>
    <w:rsid w:val="00B12954"/>
    <w:rsid w:val="00B13584"/>
    <w:rsid w:val="00B1422B"/>
    <w:rsid w:val="00B142DA"/>
    <w:rsid w:val="00B1578B"/>
    <w:rsid w:val="00B172D3"/>
    <w:rsid w:val="00B20DAF"/>
    <w:rsid w:val="00B21332"/>
    <w:rsid w:val="00B21350"/>
    <w:rsid w:val="00B22B91"/>
    <w:rsid w:val="00B25673"/>
    <w:rsid w:val="00B25BD7"/>
    <w:rsid w:val="00B26894"/>
    <w:rsid w:val="00B26B2F"/>
    <w:rsid w:val="00B26C14"/>
    <w:rsid w:val="00B27087"/>
    <w:rsid w:val="00B27F94"/>
    <w:rsid w:val="00B31FB3"/>
    <w:rsid w:val="00B33F43"/>
    <w:rsid w:val="00B34AA8"/>
    <w:rsid w:val="00B34DB3"/>
    <w:rsid w:val="00B3522C"/>
    <w:rsid w:val="00B36404"/>
    <w:rsid w:val="00B37114"/>
    <w:rsid w:val="00B37F3A"/>
    <w:rsid w:val="00B42124"/>
    <w:rsid w:val="00B43CB3"/>
    <w:rsid w:val="00B43F1C"/>
    <w:rsid w:val="00B44239"/>
    <w:rsid w:val="00B4523B"/>
    <w:rsid w:val="00B45297"/>
    <w:rsid w:val="00B454CD"/>
    <w:rsid w:val="00B45F73"/>
    <w:rsid w:val="00B46BAD"/>
    <w:rsid w:val="00B47355"/>
    <w:rsid w:val="00B47606"/>
    <w:rsid w:val="00B47A28"/>
    <w:rsid w:val="00B50366"/>
    <w:rsid w:val="00B512E9"/>
    <w:rsid w:val="00B514E4"/>
    <w:rsid w:val="00B51561"/>
    <w:rsid w:val="00B51A8E"/>
    <w:rsid w:val="00B51B0F"/>
    <w:rsid w:val="00B52962"/>
    <w:rsid w:val="00B52E03"/>
    <w:rsid w:val="00B54CC9"/>
    <w:rsid w:val="00B55BC5"/>
    <w:rsid w:val="00B5639C"/>
    <w:rsid w:val="00B564A3"/>
    <w:rsid w:val="00B565B2"/>
    <w:rsid w:val="00B56B89"/>
    <w:rsid w:val="00B57666"/>
    <w:rsid w:val="00B577CD"/>
    <w:rsid w:val="00B60463"/>
    <w:rsid w:val="00B60F15"/>
    <w:rsid w:val="00B6184A"/>
    <w:rsid w:val="00B61923"/>
    <w:rsid w:val="00B63105"/>
    <w:rsid w:val="00B658F8"/>
    <w:rsid w:val="00B65A9C"/>
    <w:rsid w:val="00B65D44"/>
    <w:rsid w:val="00B667F2"/>
    <w:rsid w:val="00B66BC1"/>
    <w:rsid w:val="00B6795A"/>
    <w:rsid w:val="00B71944"/>
    <w:rsid w:val="00B73C40"/>
    <w:rsid w:val="00B7409B"/>
    <w:rsid w:val="00B74285"/>
    <w:rsid w:val="00B74637"/>
    <w:rsid w:val="00B74650"/>
    <w:rsid w:val="00B75ADA"/>
    <w:rsid w:val="00B75CD5"/>
    <w:rsid w:val="00B75F44"/>
    <w:rsid w:val="00B76B83"/>
    <w:rsid w:val="00B80D77"/>
    <w:rsid w:val="00B80F9D"/>
    <w:rsid w:val="00B84B5E"/>
    <w:rsid w:val="00B84F95"/>
    <w:rsid w:val="00B854C0"/>
    <w:rsid w:val="00B8583F"/>
    <w:rsid w:val="00B86104"/>
    <w:rsid w:val="00B86B27"/>
    <w:rsid w:val="00B87152"/>
    <w:rsid w:val="00B87E6C"/>
    <w:rsid w:val="00B90A7A"/>
    <w:rsid w:val="00B9238D"/>
    <w:rsid w:val="00B92855"/>
    <w:rsid w:val="00B93836"/>
    <w:rsid w:val="00B93D48"/>
    <w:rsid w:val="00B944CE"/>
    <w:rsid w:val="00B95CCB"/>
    <w:rsid w:val="00B971FF"/>
    <w:rsid w:val="00B977BA"/>
    <w:rsid w:val="00BA027F"/>
    <w:rsid w:val="00BA1804"/>
    <w:rsid w:val="00BA27EA"/>
    <w:rsid w:val="00BA38E3"/>
    <w:rsid w:val="00BA4D8A"/>
    <w:rsid w:val="00BA6521"/>
    <w:rsid w:val="00BB1515"/>
    <w:rsid w:val="00BB1970"/>
    <w:rsid w:val="00BB2E79"/>
    <w:rsid w:val="00BB3202"/>
    <w:rsid w:val="00BB3C8E"/>
    <w:rsid w:val="00BB40A0"/>
    <w:rsid w:val="00BB41DC"/>
    <w:rsid w:val="00BB45C7"/>
    <w:rsid w:val="00BB7153"/>
    <w:rsid w:val="00BB7222"/>
    <w:rsid w:val="00BB7E88"/>
    <w:rsid w:val="00BC0472"/>
    <w:rsid w:val="00BC23D3"/>
    <w:rsid w:val="00BC2545"/>
    <w:rsid w:val="00BC27C4"/>
    <w:rsid w:val="00BC375E"/>
    <w:rsid w:val="00BC43CE"/>
    <w:rsid w:val="00BC448F"/>
    <w:rsid w:val="00BC4D6F"/>
    <w:rsid w:val="00BC6BF2"/>
    <w:rsid w:val="00BC720D"/>
    <w:rsid w:val="00BC7D35"/>
    <w:rsid w:val="00BD011A"/>
    <w:rsid w:val="00BD183E"/>
    <w:rsid w:val="00BD26D3"/>
    <w:rsid w:val="00BD2F94"/>
    <w:rsid w:val="00BD3055"/>
    <w:rsid w:val="00BD3488"/>
    <w:rsid w:val="00BD4003"/>
    <w:rsid w:val="00BD46DA"/>
    <w:rsid w:val="00BD4723"/>
    <w:rsid w:val="00BD5589"/>
    <w:rsid w:val="00BD56A1"/>
    <w:rsid w:val="00BD6D39"/>
    <w:rsid w:val="00BD7172"/>
    <w:rsid w:val="00BD734E"/>
    <w:rsid w:val="00BE07E6"/>
    <w:rsid w:val="00BE1D98"/>
    <w:rsid w:val="00BE2547"/>
    <w:rsid w:val="00BE351E"/>
    <w:rsid w:val="00BE4657"/>
    <w:rsid w:val="00BE4732"/>
    <w:rsid w:val="00BE4A89"/>
    <w:rsid w:val="00BE5879"/>
    <w:rsid w:val="00BE6542"/>
    <w:rsid w:val="00BE6A7E"/>
    <w:rsid w:val="00BF06E3"/>
    <w:rsid w:val="00BF0CA2"/>
    <w:rsid w:val="00BF264A"/>
    <w:rsid w:val="00C0056C"/>
    <w:rsid w:val="00C00A05"/>
    <w:rsid w:val="00C0180A"/>
    <w:rsid w:val="00C0293E"/>
    <w:rsid w:val="00C038B4"/>
    <w:rsid w:val="00C03DFD"/>
    <w:rsid w:val="00C04E7D"/>
    <w:rsid w:val="00C0640C"/>
    <w:rsid w:val="00C066E7"/>
    <w:rsid w:val="00C10F63"/>
    <w:rsid w:val="00C1170D"/>
    <w:rsid w:val="00C118E5"/>
    <w:rsid w:val="00C118FA"/>
    <w:rsid w:val="00C13034"/>
    <w:rsid w:val="00C13E9A"/>
    <w:rsid w:val="00C14045"/>
    <w:rsid w:val="00C14B6D"/>
    <w:rsid w:val="00C14F1D"/>
    <w:rsid w:val="00C155FE"/>
    <w:rsid w:val="00C15645"/>
    <w:rsid w:val="00C21753"/>
    <w:rsid w:val="00C21BA3"/>
    <w:rsid w:val="00C2206D"/>
    <w:rsid w:val="00C2224E"/>
    <w:rsid w:val="00C2310E"/>
    <w:rsid w:val="00C234F1"/>
    <w:rsid w:val="00C25455"/>
    <w:rsid w:val="00C2581C"/>
    <w:rsid w:val="00C2641B"/>
    <w:rsid w:val="00C341A5"/>
    <w:rsid w:val="00C361D7"/>
    <w:rsid w:val="00C36714"/>
    <w:rsid w:val="00C3761B"/>
    <w:rsid w:val="00C4123E"/>
    <w:rsid w:val="00C413BC"/>
    <w:rsid w:val="00C41536"/>
    <w:rsid w:val="00C42100"/>
    <w:rsid w:val="00C4413F"/>
    <w:rsid w:val="00C44714"/>
    <w:rsid w:val="00C45AFB"/>
    <w:rsid w:val="00C45B23"/>
    <w:rsid w:val="00C51070"/>
    <w:rsid w:val="00C52244"/>
    <w:rsid w:val="00C52EDD"/>
    <w:rsid w:val="00C52F08"/>
    <w:rsid w:val="00C536CA"/>
    <w:rsid w:val="00C53CB1"/>
    <w:rsid w:val="00C54E59"/>
    <w:rsid w:val="00C553BB"/>
    <w:rsid w:val="00C55549"/>
    <w:rsid w:val="00C579A6"/>
    <w:rsid w:val="00C6123A"/>
    <w:rsid w:val="00C61BFF"/>
    <w:rsid w:val="00C6236D"/>
    <w:rsid w:val="00C629CF"/>
    <w:rsid w:val="00C62D5D"/>
    <w:rsid w:val="00C631C9"/>
    <w:rsid w:val="00C63B81"/>
    <w:rsid w:val="00C65182"/>
    <w:rsid w:val="00C65468"/>
    <w:rsid w:val="00C65F31"/>
    <w:rsid w:val="00C677C9"/>
    <w:rsid w:val="00C713AA"/>
    <w:rsid w:val="00C72532"/>
    <w:rsid w:val="00C7272F"/>
    <w:rsid w:val="00C72ABF"/>
    <w:rsid w:val="00C72D19"/>
    <w:rsid w:val="00C735B7"/>
    <w:rsid w:val="00C74304"/>
    <w:rsid w:val="00C75255"/>
    <w:rsid w:val="00C7539B"/>
    <w:rsid w:val="00C762FC"/>
    <w:rsid w:val="00C77708"/>
    <w:rsid w:val="00C8099E"/>
    <w:rsid w:val="00C81093"/>
    <w:rsid w:val="00C822C2"/>
    <w:rsid w:val="00C83744"/>
    <w:rsid w:val="00C84939"/>
    <w:rsid w:val="00C853A2"/>
    <w:rsid w:val="00C85A64"/>
    <w:rsid w:val="00C86094"/>
    <w:rsid w:val="00C862FF"/>
    <w:rsid w:val="00C87328"/>
    <w:rsid w:val="00C87A59"/>
    <w:rsid w:val="00C9038D"/>
    <w:rsid w:val="00C90558"/>
    <w:rsid w:val="00C9074A"/>
    <w:rsid w:val="00C91E01"/>
    <w:rsid w:val="00C91E77"/>
    <w:rsid w:val="00C92E96"/>
    <w:rsid w:val="00C93028"/>
    <w:rsid w:val="00C9375B"/>
    <w:rsid w:val="00C93A19"/>
    <w:rsid w:val="00C95C56"/>
    <w:rsid w:val="00CA1E64"/>
    <w:rsid w:val="00CA325A"/>
    <w:rsid w:val="00CA3453"/>
    <w:rsid w:val="00CA430A"/>
    <w:rsid w:val="00CA4870"/>
    <w:rsid w:val="00CA4AB4"/>
    <w:rsid w:val="00CA4EA1"/>
    <w:rsid w:val="00CA6BE4"/>
    <w:rsid w:val="00CB06EF"/>
    <w:rsid w:val="00CB08DC"/>
    <w:rsid w:val="00CB1B3B"/>
    <w:rsid w:val="00CB1C66"/>
    <w:rsid w:val="00CB2243"/>
    <w:rsid w:val="00CB28C9"/>
    <w:rsid w:val="00CB3631"/>
    <w:rsid w:val="00CB45AC"/>
    <w:rsid w:val="00CB4BC9"/>
    <w:rsid w:val="00CB4D21"/>
    <w:rsid w:val="00CB5311"/>
    <w:rsid w:val="00CB6BAD"/>
    <w:rsid w:val="00CB6E46"/>
    <w:rsid w:val="00CC0AEC"/>
    <w:rsid w:val="00CC1191"/>
    <w:rsid w:val="00CC1399"/>
    <w:rsid w:val="00CC1AFF"/>
    <w:rsid w:val="00CC2769"/>
    <w:rsid w:val="00CC39A2"/>
    <w:rsid w:val="00CC40C2"/>
    <w:rsid w:val="00CC4547"/>
    <w:rsid w:val="00CC5850"/>
    <w:rsid w:val="00CC6EA0"/>
    <w:rsid w:val="00CC77E8"/>
    <w:rsid w:val="00CC7AA2"/>
    <w:rsid w:val="00CD0096"/>
    <w:rsid w:val="00CD192A"/>
    <w:rsid w:val="00CD1FC3"/>
    <w:rsid w:val="00CD2D48"/>
    <w:rsid w:val="00CD394C"/>
    <w:rsid w:val="00CD3E61"/>
    <w:rsid w:val="00CE052A"/>
    <w:rsid w:val="00CE0B7A"/>
    <w:rsid w:val="00CE491D"/>
    <w:rsid w:val="00CE4AD7"/>
    <w:rsid w:val="00CF006C"/>
    <w:rsid w:val="00CF09A8"/>
    <w:rsid w:val="00CF0FDA"/>
    <w:rsid w:val="00CF29D4"/>
    <w:rsid w:val="00CF2ABA"/>
    <w:rsid w:val="00CF3652"/>
    <w:rsid w:val="00CF5227"/>
    <w:rsid w:val="00CF53C6"/>
    <w:rsid w:val="00CF6381"/>
    <w:rsid w:val="00CF6DC8"/>
    <w:rsid w:val="00CF7556"/>
    <w:rsid w:val="00D0092A"/>
    <w:rsid w:val="00D01011"/>
    <w:rsid w:val="00D027AF"/>
    <w:rsid w:val="00D02A56"/>
    <w:rsid w:val="00D0346F"/>
    <w:rsid w:val="00D04521"/>
    <w:rsid w:val="00D04A1A"/>
    <w:rsid w:val="00D05984"/>
    <w:rsid w:val="00D07260"/>
    <w:rsid w:val="00D10192"/>
    <w:rsid w:val="00D107AC"/>
    <w:rsid w:val="00D125F3"/>
    <w:rsid w:val="00D12EFF"/>
    <w:rsid w:val="00D1365C"/>
    <w:rsid w:val="00D13E8A"/>
    <w:rsid w:val="00D14F7D"/>
    <w:rsid w:val="00D17162"/>
    <w:rsid w:val="00D17535"/>
    <w:rsid w:val="00D17B30"/>
    <w:rsid w:val="00D21DDE"/>
    <w:rsid w:val="00D22AC3"/>
    <w:rsid w:val="00D23502"/>
    <w:rsid w:val="00D23ADF"/>
    <w:rsid w:val="00D23B19"/>
    <w:rsid w:val="00D25D5C"/>
    <w:rsid w:val="00D301B0"/>
    <w:rsid w:val="00D309AB"/>
    <w:rsid w:val="00D33CB3"/>
    <w:rsid w:val="00D33E89"/>
    <w:rsid w:val="00D3648B"/>
    <w:rsid w:val="00D3741E"/>
    <w:rsid w:val="00D4057D"/>
    <w:rsid w:val="00D40759"/>
    <w:rsid w:val="00D43607"/>
    <w:rsid w:val="00D43967"/>
    <w:rsid w:val="00D4429D"/>
    <w:rsid w:val="00D44D0C"/>
    <w:rsid w:val="00D45776"/>
    <w:rsid w:val="00D458F5"/>
    <w:rsid w:val="00D45FF8"/>
    <w:rsid w:val="00D46F5F"/>
    <w:rsid w:val="00D476BE"/>
    <w:rsid w:val="00D51597"/>
    <w:rsid w:val="00D516AA"/>
    <w:rsid w:val="00D518AF"/>
    <w:rsid w:val="00D51AAC"/>
    <w:rsid w:val="00D525E5"/>
    <w:rsid w:val="00D53DDF"/>
    <w:rsid w:val="00D5465B"/>
    <w:rsid w:val="00D556D7"/>
    <w:rsid w:val="00D56365"/>
    <w:rsid w:val="00D5655E"/>
    <w:rsid w:val="00D56FDB"/>
    <w:rsid w:val="00D57497"/>
    <w:rsid w:val="00D610F8"/>
    <w:rsid w:val="00D61319"/>
    <w:rsid w:val="00D6186B"/>
    <w:rsid w:val="00D63214"/>
    <w:rsid w:val="00D6344E"/>
    <w:rsid w:val="00D676F4"/>
    <w:rsid w:val="00D67F82"/>
    <w:rsid w:val="00D71EEB"/>
    <w:rsid w:val="00D733DF"/>
    <w:rsid w:val="00D73BCC"/>
    <w:rsid w:val="00D74F64"/>
    <w:rsid w:val="00D76D43"/>
    <w:rsid w:val="00D775E6"/>
    <w:rsid w:val="00D800DD"/>
    <w:rsid w:val="00D8109F"/>
    <w:rsid w:val="00D810B3"/>
    <w:rsid w:val="00D8119D"/>
    <w:rsid w:val="00D81A78"/>
    <w:rsid w:val="00D81B91"/>
    <w:rsid w:val="00D8531D"/>
    <w:rsid w:val="00D85595"/>
    <w:rsid w:val="00D86347"/>
    <w:rsid w:val="00D87EF5"/>
    <w:rsid w:val="00D905FB"/>
    <w:rsid w:val="00D90B97"/>
    <w:rsid w:val="00D91D6F"/>
    <w:rsid w:val="00D92BB1"/>
    <w:rsid w:val="00D93F02"/>
    <w:rsid w:val="00D94E84"/>
    <w:rsid w:val="00D953AF"/>
    <w:rsid w:val="00D955E6"/>
    <w:rsid w:val="00D9581A"/>
    <w:rsid w:val="00D96347"/>
    <w:rsid w:val="00D96B16"/>
    <w:rsid w:val="00D96DB6"/>
    <w:rsid w:val="00D972F7"/>
    <w:rsid w:val="00DA0FB9"/>
    <w:rsid w:val="00DA1AC1"/>
    <w:rsid w:val="00DA2205"/>
    <w:rsid w:val="00DA26A7"/>
    <w:rsid w:val="00DA2A11"/>
    <w:rsid w:val="00DA2E4C"/>
    <w:rsid w:val="00DA3290"/>
    <w:rsid w:val="00DA382B"/>
    <w:rsid w:val="00DA4FCD"/>
    <w:rsid w:val="00DA5236"/>
    <w:rsid w:val="00DA65D0"/>
    <w:rsid w:val="00DA7149"/>
    <w:rsid w:val="00DA750E"/>
    <w:rsid w:val="00DA7945"/>
    <w:rsid w:val="00DB06DF"/>
    <w:rsid w:val="00DB1090"/>
    <w:rsid w:val="00DB17AB"/>
    <w:rsid w:val="00DB36B2"/>
    <w:rsid w:val="00DB37A3"/>
    <w:rsid w:val="00DB38FC"/>
    <w:rsid w:val="00DB3EA8"/>
    <w:rsid w:val="00DB5B47"/>
    <w:rsid w:val="00DB654B"/>
    <w:rsid w:val="00DB66FB"/>
    <w:rsid w:val="00DC023B"/>
    <w:rsid w:val="00DC03DF"/>
    <w:rsid w:val="00DC1ABD"/>
    <w:rsid w:val="00DC209A"/>
    <w:rsid w:val="00DC3108"/>
    <w:rsid w:val="00DC3331"/>
    <w:rsid w:val="00DC3BE3"/>
    <w:rsid w:val="00DC76B4"/>
    <w:rsid w:val="00DC7EF4"/>
    <w:rsid w:val="00DD09E5"/>
    <w:rsid w:val="00DD131B"/>
    <w:rsid w:val="00DD2032"/>
    <w:rsid w:val="00DD3628"/>
    <w:rsid w:val="00DD3726"/>
    <w:rsid w:val="00DD6001"/>
    <w:rsid w:val="00DD691D"/>
    <w:rsid w:val="00DD7502"/>
    <w:rsid w:val="00DE03D0"/>
    <w:rsid w:val="00DE13A3"/>
    <w:rsid w:val="00DE1E96"/>
    <w:rsid w:val="00DE22E8"/>
    <w:rsid w:val="00DE2B2B"/>
    <w:rsid w:val="00DE5495"/>
    <w:rsid w:val="00DE5868"/>
    <w:rsid w:val="00DE5ABF"/>
    <w:rsid w:val="00DE7899"/>
    <w:rsid w:val="00DF1E2C"/>
    <w:rsid w:val="00DF1EF5"/>
    <w:rsid w:val="00DF31FB"/>
    <w:rsid w:val="00DF5E9B"/>
    <w:rsid w:val="00DF6342"/>
    <w:rsid w:val="00DF67E9"/>
    <w:rsid w:val="00E006EF"/>
    <w:rsid w:val="00E00782"/>
    <w:rsid w:val="00E00E23"/>
    <w:rsid w:val="00E017DF"/>
    <w:rsid w:val="00E02CD1"/>
    <w:rsid w:val="00E02F60"/>
    <w:rsid w:val="00E04844"/>
    <w:rsid w:val="00E05A4A"/>
    <w:rsid w:val="00E05B2B"/>
    <w:rsid w:val="00E106FC"/>
    <w:rsid w:val="00E107F4"/>
    <w:rsid w:val="00E110F8"/>
    <w:rsid w:val="00E1212B"/>
    <w:rsid w:val="00E13444"/>
    <w:rsid w:val="00E13FE8"/>
    <w:rsid w:val="00E145F0"/>
    <w:rsid w:val="00E14C86"/>
    <w:rsid w:val="00E15EB7"/>
    <w:rsid w:val="00E164BA"/>
    <w:rsid w:val="00E16FA0"/>
    <w:rsid w:val="00E17889"/>
    <w:rsid w:val="00E230DE"/>
    <w:rsid w:val="00E233CE"/>
    <w:rsid w:val="00E23763"/>
    <w:rsid w:val="00E24DB4"/>
    <w:rsid w:val="00E25863"/>
    <w:rsid w:val="00E25A5A"/>
    <w:rsid w:val="00E267E9"/>
    <w:rsid w:val="00E26B8C"/>
    <w:rsid w:val="00E27268"/>
    <w:rsid w:val="00E27D3A"/>
    <w:rsid w:val="00E27E46"/>
    <w:rsid w:val="00E3172E"/>
    <w:rsid w:val="00E3187B"/>
    <w:rsid w:val="00E31A24"/>
    <w:rsid w:val="00E32114"/>
    <w:rsid w:val="00E323DC"/>
    <w:rsid w:val="00E33578"/>
    <w:rsid w:val="00E335CD"/>
    <w:rsid w:val="00E33788"/>
    <w:rsid w:val="00E33C0E"/>
    <w:rsid w:val="00E344E6"/>
    <w:rsid w:val="00E3470B"/>
    <w:rsid w:val="00E34C8D"/>
    <w:rsid w:val="00E34D5D"/>
    <w:rsid w:val="00E3534E"/>
    <w:rsid w:val="00E35D86"/>
    <w:rsid w:val="00E36502"/>
    <w:rsid w:val="00E37EC9"/>
    <w:rsid w:val="00E40D55"/>
    <w:rsid w:val="00E4104E"/>
    <w:rsid w:val="00E41384"/>
    <w:rsid w:val="00E413DF"/>
    <w:rsid w:val="00E425A6"/>
    <w:rsid w:val="00E45791"/>
    <w:rsid w:val="00E46F1E"/>
    <w:rsid w:val="00E51278"/>
    <w:rsid w:val="00E51AD5"/>
    <w:rsid w:val="00E51ED8"/>
    <w:rsid w:val="00E520D7"/>
    <w:rsid w:val="00E535DB"/>
    <w:rsid w:val="00E542C7"/>
    <w:rsid w:val="00E55085"/>
    <w:rsid w:val="00E56811"/>
    <w:rsid w:val="00E5722C"/>
    <w:rsid w:val="00E577DD"/>
    <w:rsid w:val="00E61B04"/>
    <w:rsid w:val="00E61D42"/>
    <w:rsid w:val="00E62412"/>
    <w:rsid w:val="00E62EC1"/>
    <w:rsid w:val="00E6445D"/>
    <w:rsid w:val="00E651BE"/>
    <w:rsid w:val="00E65F8C"/>
    <w:rsid w:val="00E67F96"/>
    <w:rsid w:val="00E70017"/>
    <w:rsid w:val="00E70513"/>
    <w:rsid w:val="00E70922"/>
    <w:rsid w:val="00E70B42"/>
    <w:rsid w:val="00E70F47"/>
    <w:rsid w:val="00E71449"/>
    <w:rsid w:val="00E71792"/>
    <w:rsid w:val="00E71D0C"/>
    <w:rsid w:val="00E7210A"/>
    <w:rsid w:val="00E7233C"/>
    <w:rsid w:val="00E72532"/>
    <w:rsid w:val="00E73D8A"/>
    <w:rsid w:val="00E74964"/>
    <w:rsid w:val="00E75A99"/>
    <w:rsid w:val="00E76253"/>
    <w:rsid w:val="00E77123"/>
    <w:rsid w:val="00E80106"/>
    <w:rsid w:val="00E807AE"/>
    <w:rsid w:val="00E80F48"/>
    <w:rsid w:val="00E8277B"/>
    <w:rsid w:val="00E82A95"/>
    <w:rsid w:val="00E8394D"/>
    <w:rsid w:val="00E8451A"/>
    <w:rsid w:val="00E86176"/>
    <w:rsid w:val="00E8625C"/>
    <w:rsid w:val="00E864DE"/>
    <w:rsid w:val="00E86571"/>
    <w:rsid w:val="00E8683D"/>
    <w:rsid w:val="00E8714A"/>
    <w:rsid w:val="00E871EE"/>
    <w:rsid w:val="00E90BA5"/>
    <w:rsid w:val="00E90E70"/>
    <w:rsid w:val="00E93829"/>
    <w:rsid w:val="00E93D81"/>
    <w:rsid w:val="00E93EF3"/>
    <w:rsid w:val="00E94106"/>
    <w:rsid w:val="00E95BE7"/>
    <w:rsid w:val="00E96D16"/>
    <w:rsid w:val="00E97B38"/>
    <w:rsid w:val="00E97BFC"/>
    <w:rsid w:val="00EA12B3"/>
    <w:rsid w:val="00EA2379"/>
    <w:rsid w:val="00EA2D63"/>
    <w:rsid w:val="00EA3280"/>
    <w:rsid w:val="00EA3A6B"/>
    <w:rsid w:val="00EA4962"/>
    <w:rsid w:val="00EA5627"/>
    <w:rsid w:val="00EA599C"/>
    <w:rsid w:val="00EA61A7"/>
    <w:rsid w:val="00EA6426"/>
    <w:rsid w:val="00EA6659"/>
    <w:rsid w:val="00EA6CC3"/>
    <w:rsid w:val="00EA7364"/>
    <w:rsid w:val="00EB0A1D"/>
    <w:rsid w:val="00EB1587"/>
    <w:rsid w:val="00EB2862"/>
    <w:rsid w:val="00EB40F7"/>
    <w:rsid w:val="00EB4C07"/>
    <w:rsid w:val="00EB5548"/>
    <w:rsid w:val="00EB555A"/>
    <w:rsid w:val="00EB70CF"/>
    <w:rsid w:val="00EB7E2A"/>
    <w:rsid w:val="00EC043A"/>
    <w:rsid w:val="00EC0DC3"/>
    <w:rsid w:val="00EC0FC4"/>
    <w:rsid w:val="00EC16A6"/>
    <w:rsid w:val="00EC413A"/>
    <w:rsid w:val="00EC454B"/>
    <w:rsid w:val="00EC4647"/>
    <w:rsid w:val="00EC4AFA"/>
    <w:rsid w:val="00EC542B"/>
    <w:rsid w:val="00EC5A81"/>
    <w:rsid w:val="00EC7812"/>
    <w:rsid w:val="00ED0839"/>
    <w:rsid w:val="00ED0B94"/>
    <w:rsid w:val="00ED0C82"/>
    <w:rsid w:val="00ED1705"/>
    <w:rsid w:val="00ED1F70"/>
    <w:rsid w:val="00ED2BDE"/>
    <w:rsid w:val="00ED3E55"/>
    <w:rsid w:val="00ED51EE"/>
    <w:rsid w:val="00ED5794"/>
    <w:rsid w:val="00EE0051"/>
    <w:rsid w:val="00EE0440"/>
    <w:rsid w:val="00EE107D"/>
    <w:rsid w:val="00EE148E"/>
    <w:rsid w:val="00EE1B55"/>
    <w:rsid w:val="00EE1D12"/>
    <w:rsid w:val="00EE283E"/>
    <w:rsid w:val="00EE2A4D"/>
    <w:rsid w:val="00EE46EE"/>
    <w:rsid w:val="00EE4F0D"/>
    <w:rsid w:val="00EE7BA1"/>
    <w:rsid w:val="00EF07FA"/>
    <w:rsid w:val="00EF1232"/>
    <w:rsid w:val="00EF1ECB"/>
    <w:rsid w:val="00EF2486"/>
    <w:rsid w:val="00EF407F"/>
    <w:rsid w:val="00EF44AF"/>
    <w:rsid w:val="00EF4F48"/>
    <w:rsid w:val="00EF5565"/>
    <w:rsid w:val="00EF5688"/>
    <w:rsid w:val="00EF5EB3"/>
    <w:rsid w:val="00EF6541"/>
    <w:rsid w:val="00EF7DF2"/>
    <w:rsid w:val="00F02114"/>
    <w:rsid w:val="00F05D0F"/>
    <w:rsid w:val="00F05DDD"/>
    <w:rsid w:val="00F061A7"/>
    <w:rsid w:val="00F0668F"/>
    <w:rsid w:val="00F076B1"/>
    <w:rsid w:val="00F077EB"/>
    <w:rsid w:val="00F10A18"/>
    <w:rsid w:val="00F1146F"/>
    <w:rsid w:val="00F12605"/>
    <w:rsid w:val="00F128BD"/>
    <w:rsid w:val="00F15231"/>
    <w:rsid w:val="00F16658"/>
    <w:rsid w:val="00F16F72"/>
    <w:rsid w:val="00F17B25"/>
    <w:rsid w:val="00F209B9"/>
    <w:rsid w:val="00F221AF"/>
    <w:rsid w:val="00F223FF"/>
    <w:rsid w:val="00F22585"/>
    <w:rsid w:val="00F2277B"/>
    <w:rsid w:val="00F22821"/>
    <w:rsid w:val="00F228A2"/>
    <w:rsid w:val="00F22C00"/>
    <w:rsid w:val="00F22EF0"/>
    <w:rsid w:val="00F2593C"/>
    <w:rsid w:val="00F26CC8"/>
    <w:rsid w:val="00F271CF"/>
    <w:rsid w:val="00F27DAB"/>
    <w:rsid w:val="00F30F6A"/>
    <w:rsid w:val="00F31D48"/>
    <w:rsid w:val="00F31EE2"/>
    <w:rsid w:val="00F32191"/>
    <w:rsid w:val="00F321C4"/>
    <w:rsid w:val="00F323BA"/>
    <w:rsid w:val="00F345C3"/>
    <w:rsid w:val="00F3555B"/>
    <w:rsid w:val="00F35674"/>
    <w:rsid w:val="00F35C9F"/>
    <w:rsid w:val="00F3685D"/>
    <w:rsid w:val="00F40E91"/>
    <w:rsid w:val="00F41A4A"/>
    <w:rsid w:val="00F43271"/>
    <w:rsid w:val="00F4330A"/>
    <w:rsid w:val="00F44396"/>
    <w:rsid w:val="00F448C3"/>
    <w:rsid w:val="00F44C94"/>
    <w:rsid w:val="00F44D2E"/>
    <w:rsid w:val="00F455EB"/>
    <w:rsid w:val="00F460F9"/>
    <w:rsid w:val="00F474A7"/>
    <w:rsid w:val="00F51CFD"/>
    <w:rsid w:val="00F51D8D"/>
    <w:rsid w:val="00F55580"/>
    <w:rsid w:val="00F61383"/>
    <w:rsid w:val="00F61E09"/>
    <w:rsid w:val="00F61FF8"/>
    <w:rsid w:val="00F6226E"/>
    <w:rsid w:val="00F63116"/>
    <w:rsid w:val="00F632AC"/>
    <w:rsid w:val="00F632C4"/>
    <w:rsid w:val="00F642DE"/>
    <w:rsid w:val="00F67767"/>
    <w:rsid w:val="00F7005D"/>
    <w:rsid w:val="00F71599"/>
    <w:rsid w:val="00F71E84"/>
    <w:rsid w:val="00F72957"/>
    <w:rsid w:val="00F72CF4"/>
    <w:rsid w:val="00F74C30"/>
    <w:rsid w:val="00F77451"/>
    <w:rsid w:val="00F77F34"/>
    <w:rsid w:val="00F804AA"/>
    <w:rsid w:val="00F80E90"/>
    <w:rsid w:val="00F80ED2"/>
    <w:rsid w:val="00F817B0"/>
    <w:rsid w:val="00F8310A"/>
    <w:rsid w:val="00F8371C"/>
    <w:rsid w:val="00F8382D"/>
    <w:rsid w:val="00F849D4"/>
    <w:rsid w:val="00F857A3"/>
    <w:rsid w:val="00F85FC2"/>
    <w:rsid w:val="00F86BDB"/>
    <w:rsid w:val="00F87667"/>
    <w:rsid w:val="00F87C83"/>
    <w:rsid w:val="00F9059E"/>
    <w:rsid w:val="00F90823"/>
    <w:rsid w:val="00F91633"/>
    <w:rsid w:val="00F917B3"/>
    <w:rsid w:val="00F91BE6"/>
    <w:rsid w:val="00F92539"/>
    <w:rsid w:val="00F949C7"/>
    <w:rsid w:val="00F96CC9"/>
    <w:rsid w:val="00F97950"/>
    <w:rsid w:val="00FA0332"/>
    <w:rsid w:val="00FA1727"/>
    <w:rsid w:val="00FA3259"/>
    <w:rsid w:val="00FA3715"/>
    <w:rsid w:val="00FA39CF"/>
    <w:rsid w:val="00FA5AB1"/>
    <w:rsid w:val="00FA5AE4"/>
    <w:rsid w:val="00FA6042"/>
    <w:rsid w:val="00FA636B"/>
    <w:rsid w:val="00FB31FE"/>
    <w:rsid w:val="00FB5E6C"/>
    <w:rsid w:val="00FB6374"/>
    <w:rsid w:val="00FB6CB4"/>
    <w:rsid w:val="00FB6D76"/>
    <w:rsid w:val="00FB6FD8"/>
    <w:rsid w:val="00FC1314"/>
    <w:rsid w:val="00FC28EE"/>
    <w:rsid w:val="00FC2B71"/>
    <w:rsid w:val="00FC557F"/>
    <w:rsid w:val="00FC6DB7"/>
    <w:rsid w:val="00FC776F"/>
    <w:rsid w:val="00FC7CD8"/>
    <w:rsid w:val="00FD0002"/>
    <w:rsid w:val="00FD1C30"/>
    <w:rsid w:val="00FD250B"/>
    <w:rsid w:val="00FD2F1C"/>
    <w:rsid w:val="00FD39EA"/>
    <w:rsid w:val="00FD7D0B"/>
    <w:rsid w:val="00FE0741"/>
    <w:rsid w:val="00FE0DE7"/>
    <w:rsid w:val="00FE218B"/>
    <w:rsid w:val="00FE3B3A"/>
    <w:rsid w:val="00FE405B"/>
    <w:rsid w:val="00FE529E"/>
    <w:rsid w:val="00FE59A2"/>
    <w:rsid w:val="00FE6D02"/>
    <w:rsid w:val="00FE79F7"/>
    <w:rsid w:val="00FF12A0"/>
    <w:rsid w:val="00FF1385"/>
    <w:rsid w:val="00FF1732"/>
    <w:rsid w:val="00FF1AD7"/>
    <w:rsid w:val="00FF3E04"/>
    <w:rsid w:val="00FF53E8"/>
    <w:rsid w:val="00FF6A5A"/>
    <w:rsid w:val="00FF762C"/>
    <w:rsid w:val="00FF79C6"/>
    <w:rsid w:val="011F0566"/>
    <w:rsid w:val="018A44B4"/>
    <w:rsid w:val="01922DC9"/>
    <w:rsid w:val="01963BE6"/>
    <w:rsid w:val="019924DC"/>
    <w:rsid w:val="021A1EAD"/>
    <w:rsid w:val="02316790"/>
    <w:rsid w:val="023E4914"/>
    <w:rsid w:val="02606320"/>
    <w:rsid w:val="02734C55"/>
    <w:rsid w:val="02E9052A"/>
    <w:rsid w:val="02F10E60"/>
    <w:rsid w:val="03387229"/>
    <w:rsid w:val="03443A6F"/>
    <w:rsid w:val="03724537"/>
    <w:rsid w:val="03851ED2"/>
    <w:rsid w:val="03A96165"/>
    <w:rsid w:val="03EF2BC8"/>
    <w:rsid w:val="03F44933"/>
    <w:rsid w:val="04043AA5"/>
    <w:rsid w:val="041E7ACD"/>
    <w:rsid w:val="04201B8B"/>
    <w:rsid w:val="04382BE0"/>
    <w:rsid w:val="043E7102"/>
    <w:rsid w:val="045E7194"/>
    <w:rsid w:val="0477350E"/>
    <w:rsid w:val="048D42C4"/>
    <w:rsid w:val="04A006E1"/>
    <w:rsid w:val="04A9736F"/>
    <w:rsid w:val="051A65C3"/>
    <w:rsid w:val="052E1C9F"/>
    <w:rsid w:val="0531200C"/>
    <w:rsid w:val="053E109C"/>
    <w:rsid w:val="054C6411"/>
    <w:rsid w:val="0584502B"/>
    <w:rsid w:val="05E002BE"/>
    <w:rsid w:val="05E35B59"/>
    <w:rsid w:val="06481AD4"/>
    <w:rsid w:val="06521913"/>
    <w:rsid w:val="06567772"/>
    <w:rsid w:val="06805122"/>
    <w:rsid w:val="069353D8"/>
    <w:rsid w:val="06952ADA"/>
    <w:rsid w:val="06DF7532"/>
    <w:rsid w:val="06F36A08"/>
    <w:rsid w:val="071B4038"/>
    <w:rsid w:val="07422C6F"/>
    <w:rsid w:val="07655DB3"/>
    <w:rsid w:val="07A41A66"/>
    <w:rsid w:val="07DA0583"/>
    <w:rsid w:val="0838737A"/>
    <w:rsid w:val="08444D9F"/>
    <w:rsid w:val="088A4392"/>
    <w:rsid w:val="08975D4C"/>
    <w:rsid w:val="089935B7"/>
    <w:rsid w:val="089D2F66"/>
    <w:rsid w:val="08AA4743"/>
    <w:rsid w:val="08D12404"/>
    <w:rsid w:val="08DA0D79"/>
    <w:rsid w:val="08E70EE2"/>
    <w:rsid w:val="0927319F"/>
    <w:rsid w:val="092B3141"/>
    <w:rsid w:val="0931250D"/>
    <w:rsid w:val="097517AF"/>
    <w:rsid w:val="097A7948"/>
    <w:rsid w:val="098C68F8"/>
    <w:rsid w:val="09AC4724"/>
    <w:rsid w:val="09B87F24"/>
    <w:rsid w:val="09F95F96"/>
    <w:rsid w:val="0A0334B3"/>
    <w:rsid w:val="0A3C1CA7"/>
    <w:rsid w:val="0A461924"/>
    <w:rsid w:val="0A901CC5"/>
    <w:rsid w:val="0B072024"/>
    <w:rsid w:val="0B0914F5"/>
    <w:rsid w:val="0B110D86"/>
    <w:rsid w:val="0B1C5187"/>
    <w:rsid w:val="0B2916C2"/>
    <w:rsid w:val="0B91761E"/>
    <w:rsid w:val="0BCA33E7"/>
    <w:rsid w:val="0BE77B0B"/>
    <w:rsid w:val="0C83295D"/>
    <w:rsid w:val="0C89471E"/>
    <w:rsid w:val="0CAE5CFF"/>
    <w:rsid w:val="0D3E4270"/>
    <w:rsid w:val="0D494161"/>
    <w:rsid w:val="0D4F57E4"/>
    <w:rsid w:val="0D6669BD"/>
    <w:rsid w:val="0DC64678"/>
    <w:rsid w:val="0DCB05AE"/>
    <w:rsid w:val="0DD62CB0"/>
    <w:rsid w:val="0DF70178"/>
    <w:rsid w:val="0DF94899"/>
    <w:rsid w:val="0DFA1324"/>
    <w:rsid w:val="0E1924B1"/>
    <w:rsid w:val="0E32410D"/>
    <w:rsid w:val="0E603458"/>
    <w:rsid w:val="0E7E69A2"/>
    <w:rsid w:val="0E92275F"/>
    <w:rsid w:val="0EA86D69"/>
    <w:rsid w:val="0EB14180"/>
    <w:rsid w:val="0EBC4E69"/>
    <w:rsid w:val="0ECD5E88"/>
    <w:rsid w:val="0EDD408A"/>
    <w:rsid w:val="0EF64818"/>
    <w:rsid w:val="0EFB37A0"/>
    <w:rsid w:val="0F2618CE"/>
    <w:rsid w:val="0F2B6006"/>
    <w:rsid w:val="0F3D389D"/>
    <w:rsid w:val="0F434292"/>
    <w:rsid w:val="0F8236D5"/>
    <w:rsid w:val="0FA65B55"/>
    <w:rsid w:val="0FC55235"/>
    <w:rsid w:val="1009280B"/>
    <w:rsid w:val="100E134E"/>
    <w:rsid w:val="10264018"/>
    <w:rsid w:val="1050087E"/>
    <w:rsid w:val="10B2256F"/>
    <w:rsid w:val="10C17787"/>
    <w:rsid w:val="10C64A93"/>
    <w:rsid w:val="10D91655"/>
    <w:rsid w:val="10DC68D5"/>
    <w:rsid w:val="11803EC2"/>
    <w:rsid w:val="11AC730F"/>
    <w:rsid w:val="11BC1C1F"/>
    <w:rsid w:val="11CF1EF1"/>
    <w:rsid w:val="11EA2CE5"/>
    <w:rsid w:val="121A40C0"/>
    <w:rsid w:val="126D2AE8"/>
    <w:rsid w:val="12994AF8"/>
    <w:rsid w:val="12AE6B32"/>
    <w:rsid w:val="12C43EF0"/>
    <w:rsid w:val="12C4475B"/>
    <w:rsid w:val="12D6647C"/>
    <w:rsid w:val="132B46CB"/>
    <w:rsid w:val="1347382D"/>
    <w:rsid w:val="134946AD"/>
    <w:rsid w:val="135421F8"/>
    <w:rsid w:val="13616BDF"/>
    <w:rsid w:val="13753967"/>
    <w:rsid w:val="13A1080A"/>
    <w:rsid w:val="13DF2D80"/>
    <w:rsid w:val="13EB17D3"/>
    <w:rsid w:val="142A4E08"/>
    <w:rsid w:val="146B3973"/>
    <w:rsid w:val="14B33590"/>
    <w:rsid w:val="14D8207C"/>
    <w:rsid w:val="14DA386A"/>
    <w:rsid w:val="14E42898"/>
    <w:rsid w:val="14F224D3"/>
    <w:rsid w:val="15073605"/>
    <w:rsid w:val="15122C65"/>
    <w:rsid w:val="152A4236"/>
    <w:rsid w:val="155807CF"/>
    <w:rsid w:val="15786FC5"/>
    <w:rsid w:val="15893384"/>
    <w:rsid w:val="15F034C4"/>
    <w:rsid w:val="15FA4347"/>
    <w:rsid w:val="162701DA"/>
    <w:rsid w:val="162B22EC"/>
    <w:rsid w:val="164C31F0"/>
    <w:rsid w:val="164D4538"/>
    <w:rsid w:val="167E096F"/>
    <w:rsid w:val="16AA643D"/>
    <w:rsid w:val="16C16894"/>
    <w:rsid w:val="16E62698"/>
    <w:rsid w:val="170B2AE0"/>
    <w:rsid w:val="170C2076"/>
    <w:rsid w:val="171347E8"/>
    <w:rsid w:val="171F0553"/>
    <w:rsid w:val="17656EC7"/>
    <w:rsid w:val="17865E6F"/>
    <w:rsid w:val="178B2FCA"/>
    <w:rsid w:val="17D73777"/>
    <w:rsid w:val="1836159F"/>
    <w:rsid w:val="183A16EE"/>
    <w:rsid w:val="188859CE"/>
    <w:rsid w:val="189F55F4"/>
    <w:rsid w:val="18F273A6"/>
    <w:rsid w:val="192A68C8"/>
    <w:rsid w:val="196E49C7"/>
    <w:rsid w:val="199F5019"/>
    <w:rsid w:val="19DD240B"/>
    <w:rsid w:val="19DF13F6"/>
    <w:rsid w:val="1A390864"/>
    <w:rsid w:val="1A572046"/>
    <w:rsid w:val="1A6A324A"/>
    <w:rsid w:val="1A801D5E"/>
    <w:rsid w:val="1AC77936"/>
    <w:rsid w:val="1ACB4284"/>
    <w:rsid w:val="1B06535A"/>
    <w:rsid w:val="1B181533"/>
    <w:rsid w:val="1BA7556B"/>
    <w:rsid w:val="1BDE1760"/>
    <w:rsid w:val="1C2551E1"/>
    <w:rsid w:val="1C2D5F77"/>
    <w:rsid w:val="1C4B349A"/>
    <w:rsid w:val="1C656F34"/>
    <w:rsid w:val="1C946602"/>
    <w:rsid w:val="1CA232AC"/>
    <w:rsid w:val="1CCA7376"/>
    <w:rsid w:val="1D0B7287"/>
    <w:rsid w:val="1D0E5817"/>
    <w:rsid w:val="1DA03128"/>
    <w:rsid w:val="1DA05131"/>
    <w:rsid w:val="1DB25B96"/>
    <w:rsid w:val="1DC52A30"/>
    <w:rsid w:val="1DC65517"/>
    <w:rsid w:val="1DD66520"/>
    <w:rsid w:val="1DE870A5"/>
    <w:rsid w:val="1E16127D"/>
    <w:rsid w:val="1E2A33E0"/>
    <w:rsid w:val="1E465BA2"/>
    <w:rsid w:val="1E5E47E0"/>
    <w:rsid w:val="1E65548D"/>
    <w:rsid w:val="1E6A5CCC"/>
    <w:rsid w:val="1E84689A"/>
    <w:rsid w:val="1F1555E0"/>
    <w:rsid w:val="1F5472F6"/>
    <w:rsid w:val="1F663A3C"/>
    <w:rsid w:val="1F6E7EA0"/>
    <w:rsid w:val="1F805BBC"/>
    <w:rsid w:val="1FC95986"/>
    <w:rsid w:val="1FE73C5F"/>
    <w:rsid w:val="1FF877BF"/>
    <w:rsid w:val="202915A2"/>
    <w:rsid w:val="2038536A"/>
    <w:rsid w:val="204539A1"/>
    <w:rsid w:val="207019F5"/>
    <w:rsid w:val="20DD7A52"/>
    <w:rsid w:val="21087874"/>
    <w:rsid w:val="21346507"/>
    <w:rsid w:val="21435719"/>
    <w:rsid w:val="21457AA6"/>
    <w:rsid w:val="2184057F"/>
    <w:rsid w:val="219C4AB4"/>
    <w:rsid w:val="21B76AE0"/>
    <w:rsid w:val="223C008F"/>
    <w:rsid w:val="22472B4C"/>
    <w:rsid w:val="22643497"/>
    <w:rsid w:val="22794F14"/>
    <w:rsid w:val="227F77DE"/>
    <w:rsid w:val="227F796C"/>
    <w:rsid w:val="229442B5"/>
    <w:rsid w:val="22C67959"/>
    <w:rsid w:val="22CC1E58"/>
    <w:rsid w:val="22FB0688"/>
    <w:rsid w:val="231C0C23"/>
    <w:rsid w:val="232063A6"/>
    <w:rsid w:val="23635693"/>
    <w:rsid w:val="239F4B3B"/>
    <w:rsid w:val="23B76FD3"/>
    <w:rsid w:val="23C44AC9"/>
    <w:rsid w:val="23ED7ADD"/>
    <w:rsid w:val="240C6AFA"/>
    <w:rsid w:val="2448342E"/>
    <w:rsid w:val="245C48D7"/>
    <w:rsid w:val="246E108F"/>
    <w:rsid w:val="24A249FE"/>
    <w:rsid w:val="25066EF6"/>
    <w:rsid w:val="2518296A"/>
    <w:rsid w:val="26066D6F"/>
    <w:rsid w:val="26176E7E"/>
    <w:rsid w:val="26235A5B"/>
    <w:rsid w:val="262E24B2"/>
    <w:rsid w:val="2634789F"/>
    <w:rsid w:val="268B284C"/>
    <w:rsid w:val="26A26BEE"/>
    <w:rsid w:val="26C7367F"/>
    <w:rsid w:val="26CD70F0"/>
    <w:rsid w:val="26FE1742"/>
    <w:rsid w:val="26FF1B22"/>
    <w:rsid w:val="2701248A"/>
    <w:rsid w:val="27015D0E"/>
    <w:rsid w:val="272B4880"/>
    <w:rsid w:val="274F6261"/>
    <w:rsid w:val="277A093D"/>
    <w:rsid w:val="278241BD"/>
    <w:rsid w:val="27971706"/>
    <w:rsid w:val="279767AD"/>
    <w:rsid w:val="27EB6347"/>
    <w:rsid w:val="280755BB"/>
    <w:rsid w:val="28154693"/>
    <w:rsid w:val="286D29E1"/>
    <w:rsid w:val="288714FD"/>
    <w:rsid w:val="28B46E7B"/>
    <w:rsid w:val="28CC3AA7"/>
    <w:rsid w:val="28EA436C"/>
    <w:rsid w:val="29215BA4"/>
    <w:rsid w:val="29660000"/>
    <w:rsid w:val="298A5CBE"/>
    <w:rsid w:val="29983A7B"/>
    <w:rsid w:val="29A65A1D"/>
    <w:rsid w:val="29AF38AF"/>
    <w:rsid w:val="29B4634A"/>
    <w:rsid w:val="29EA6C76"/>
    <w:rsid w:val="29F10992"/>
    <w:rsid w:val="29F1685F"/>
    <w:rsid w:val="2A2E1289"/>
    <w:rsid w:val="2A8229CD"/>
    <w:rsid w:val="2A8453B1"/>
    <w:rsid w:val="2A863051"/>
    <w:rsid w:val="2A9920D3"/>
    <w:rsid w:val="2AA56CCB"/>
    <w:rsid w:val="2AE37315"/>
    <w:rsid w:val="2B2412CD"/>
    <w:rsid w:val="2B2433DD"/>
    <w:rsid w:val="2B7045BE"/>
    <w:rsid w:val="2B9D7C99"/>
    <w:rsid w:val="2BA90F52"/>
    <w:rsid w:val="2BAB53B1"/>
    <w:rsid w:val="2BB51544"/>
    <w:rsid w:val="2BC346BE"/>
    <w:rsid w:val="2BE16598"/>
    <w:rsid w:val="2BF269A7"/>
    <w:rsid w:val="2C1C696A"/>
    <w:rsid w:val="2C5174E0"/>
    <w:rsid w:val="2C5618F8"/>
    <w:rsid w:val="2C6A365C"/>
    <w:rsid w:val="2C877A43"/>
    <w:rsid w:val="2C8F59B2"/>
    <w:rsid w:val="2C956603"/>
    <w:rsid w:val="2CE22AB5"/>
    <w:rsid w:val="2D1877A7"/>
    <w:rsid w:val="2D845825"/>
    <w:rsid w:val="2D9A7120"/>
    <w:rsid w:val="2DBB30B8"/>
    <w:rsid w:val="2DC50F24"/>
    <w:rsid w:val="2DE435D2"/>
    <w:rsid w:val="2DF36570"/>
    <w:rsid w:val="2E1664C3"/>
    <w:rsid w:val="2E235B1A"/>
    <w:rsid w:val="2E2D4D5E"/>
    <w:rsid w:val="2E3512B9"/>
    <w:rsid w:val="2EA95EB8"/>
    <w:rsid w:val="2ECF2A5B"/>
    <w:rsid w:val="2F1669FD"/>
    <w:rsid w:val="2F2D4173"/>
    <w:rsid w:val="2F3C308F"/>
    <w:rsid w:val="2F8278DB"/>
    <w:rsid w:val="2F9C7A54"/>
    <w:rsid w:val="2F9D6043"/>
    <w:rsid w:val="2FB21666"/>
    <w:rsid w:val="2FC04163"/>
    <w:rsid w:val="2FC47999"/>
    <w:rsid w:val="2FD71C09"/>
    <w:rsid w:val="300141D1"/>
    <w:rsid w:val="3006129D"/>
    <w:rsid w:val="30543287"/>
    <w:rsid w:val="305438AA"/>
    <w:rsid w:val="30B5333E"/>
    <w:rsid w:val="30F90549"/>
    <w:rsid w:val="310974A7"/>
    <w:rsid w:val="313C614E"/>
    <w:rsid w:val="31505DAD"/>
    <w:rsid w:val="31532F2D"/>
    <w:rsid w:val="317B057D"/>
    <w:rsid w:val="318320A8"/>
    <w:rsid w:val="31A40879"/>
    <w:rsid w:val="31C1309B"/>
    <w:rsid w:val="31CD7106"/>
    <w:rsid w:val="31E67016"/>
    <w:rsid w:val="31F57EDC"/>
    <w:rsid w:val="320C1BA8"/>
    <w:rsid w:val="329B4239"/>
    <w:rsid w:val="32AA5A6C"/>
    <w:rsid w:val="32B56792"/>
    <w:rsid w:val="32B6279F"/>
    <w:rsid w:val="32BC30EA"/>
    <w:rsid w:val="32C51192"/>
    <w:rsid w:val="32CD43F3"/>
    <w:rsid w:val="32EE7C35"/>
    <w:rsid w:val="32FD11C0"/>
    <w:rsid w:val="332848FF"/>
    <w:rsid w:val="337F26A9"/>
    <w:rsid w:val="33B33591"/>
    <w:rsid w:val="33C40DAF"/>
    <w:rsid w:val="33CB50F6"/>
    <w:rsid w:val="33EA5773"/>
    <w:rsid w:val="34156596"/>
    <w:rsid w:val="341579FF"/>
    <w:rsid w:val="343B1E3D"/>
    <w:rsid w:val="347B2C27"/>
    <w:rsid w:val="3480762C"/>
    <w:rsid w:val="34B563E2"/>
    <w:rsid w:val="34C71782"/>
    <w:rsid w:val="34CA2810"/>
    <w:rsid w:val="34F73875"/>
    <w:rsid w:val="35033E04"/>
    <w:rsid w:val="350A1874"/>
    <w:rsid w:val="350C4714"/>
    <w:rsid w:val="351A087B"/>
    <w:rsid w:val="35270B41"/>
    <w:rsid w:val="353323D5"/>
    <w:rsid w:val="35485265"/>
    <w:rsid w:val="35925C72"/>
    <w:rsid w:val="35973F2D"/>
    <w:rsid w:val="35C26DEE"/>
    <w:rsid w:val="360F267E"/>
    <w:rsid w:val="36513CE6"/>
    <w:rsid w:val="365A50BB"/>
    <w:rsid w:val="366E68DA"/>
    <w:rsid w:val="36881F0D"/>
    <w:rsid w:val="36C41867"/>
    <w:rsid w:val="36CC24F7"/>
    <w:rsid w:val="36E25091"/>
    <w:rsid w:val="370E4C3C"/>
    <w:rsid w:val="37394700"/>
    <w:rsid w:val="373C3CC0"/>
    <w:rsid w:val="375436D4"/>
    <w:rsid w:val="37545502"/>
    <w:rsid w:val="37855348"/>
    <w:rsid w:val="37D4606B"/>
    <w:rsid w:val="37FA4F3B"/>
    <w:rsid w:val="381F5E35"/>
    <w:rsid w:val="383813C8"/>
    <w:rsid w:val="385244BD"/>
    <w:rsid w:val="38623892"/>
    <w:rsid w:val="38650C3E"/>
    <w:rsid w:val="388809BB"/>
    <w:rsid w:val="388A07DC"/>
    <w:rsid w:val="38E431AE"/>
    <w:rsid w:val="38F57B5C"/>
    <w:rsid w:val="38FD2469"/>
    <w:rsid w:val="39334744"/>
    <w:rsid w:val="3948026B"/>
    <w:rsid w:val="3956604D"/>
    <w:rsid w:val="39A1679C"/>
    <w:rsid w:val="39D845F2"/>
    <w:rsid w:val="39F12A70"/>
    <w:rsid w:val="3A132F16"/>
    <w:rsid w:val="3A1B3237"/>
    <w:rsid w:val="3A93517E"/>
    <w:rsid w:val="3B171F51"/>
    <w:rsid w:val="3B42434C"/>
    <w:rsid w:val="3BE55A8F"/>
    <w:rsid w:val="3BF44C1A"/>
    <w:rsid w:val="3C030505"/>
    <w:rsid w:val="3C34574B"/>
    <w:rsid w:val="3C5A2D1C"/>
    <w:rsid w:val="3C7941AB"/>
    <w:rsid w:val="3CB37024"/>
    <w:rsid w:val="3CE47750"/>
    <w:rsid w:val="3D057F7D"/>
    <w:rsid w:val="3D0976C4"/>
    <w:rsid w:val="3D4752E9"/>
    <w:rsid w:val="3D7E34D1"/>
    <w:rsid w:val="3D8C258A"/>
    <w:rsid w:val="3DA7157D"/>
    <w:rsid w:val="3E0347A6"/>
    <w:rsid w:val="3E37139E"/>
    <w:rsid w:val="3E386E20"/>
    <w:rsid w:val="3E5C5F16"/>
    <w:rsid w:val="3E7E6A1E"/>
    <w:rsid w:val="3F3527DB"/>
    <w:rsid w:val="3F610CAF"/>
    <w:rsid w:val="3F92191C"/>
    <w:rsid w:val="3FE3408C"/>
    <w:rsid w:val="402F14D9"/>
    <w:rsid w:val="4042437C"/>
    <w:rsid w:val="40437225"/>
    <w:rsid w:val="40666255"/>
    <w:rsid w:val="40852B71"/>
    <w:rsid w:val="408E067A"/>
    <w:rsid w:val="40A56A55"/>
    <w:rsid w:val="40D04F96"/>
    <w:rsid w:val="412F650A"/>
    <w:rsid w:val="4154383A"/>
    <w:rsid w:val="415826D8"/>
    <w:rsid w:val="416A77B2"/>
    <w:rsid w:val="42092064"/>
    <w:rsid w:val="425E2086"/>
    <w:rsid w:val="427E562E"/>
    <w:rsid w:val="42C22B34"/>
    <w:rsid w:val="42C433F4"/>
    <w:rsid w:val="42E6571C"/>
    <w:rsid w:val="42F624A6"/>
    <w:rsid w:val="43297F3D"/>
    <w:rsid w:val="434C069A"/>
    <w:rsid w:val="43562841"/>
    <w:rsid w:val="43707565"/>
    <w:rsid w:val="43814E59"/>
    <w:rsid w:val="43A30B48"/>
    <w:rsid w:val="4412373D"/>
    <w:rsid w:val="44234706"/>
    <w:rsid w:val="44846EF4"/>
    <w:rsid w:val="448B20BD"/>
    <w:rsid w:val="44D00889"/>
    <w:rsid w:val="44DB3186"/>
    <w:rsid w:val="44F11AA7"/>
    <w:rsid w:val="44FE4B02"/>
    <w:rsid w:val="453146CD"/>
    <w:rsid w:val="455A36D4"/>
    <w:rsid w:val="45642733"/>
    <w:rsid w:val="45FB5915"/>
    <w:rsid w:val="462875A5"/>
    <w:rsid w:val="462E6C0B"/>
    <w:rsid w:val="46303B43"/>
    <w:rsid w:val="46A401F3"/>
    <w:rsid w:val="47077F50"/>
    <w:rsid w:val="475A0EB2"/>
    <w:rsid w:val="475B3E56"/>
    <w:rsid w:val="475E4BEA"/>
    <w:rsid w:val="47766E62"/>
    <w:rsid w:val="479E21BE"/>
    <w:rsid w:val="47CB5980"/>
    <w:rsid w:val="47DC362C"/>
    <w:rsid w:val="47E7569B"/>
    <w:rsid w:val="488739F0"/>
    <w:rsid w:val="48BA78DE"/>
    <w:rsid w:val="48C2276C"/>
    <w:rsid w:val="48CA70FD"/>
    <w:rsid w:val="48CB5058"/>
    <w:rsid w:val="48CC2435"/>
    <w:rsid w:val="490D4C4F"/>
    <w:rsid w:val="4994479C"/>
    <w:rsid w:val="499814CB"/>
    <w:rsid w:val="499C42E2"/>
    <w:rsid w:val="49FA026B"/>
    <w:rsid w:val="49FA3470"/>
    <w:rsid w:val="4A596B7C"/>
    <w:rsid w:val="4A5E3A23"/>
    <w:rsid w:val="4A92373A"/>
    <w:rsid w:val="4AA043AA"/>
    <w:rsid w:val="4ABA51D3"/>
    <w:rsid w:val="4ABD1A49"/>
    <w:rsid w:val="4ABF0B2E"/>
    <w:rsid w:val="4AD16E3D"/>
    <w:rsid w:val="4AF127BB"/>
    <w:rsid w:val="4B17556D"/>
    <w:rsid w:val="4B46248B"/>
    <w:rsid w:val="4B8D6483"/>
    <w:rsid w:val="4B994F91"/>
    <w:rsid w:val="4B9C3B63"/>
    <w:rsid w:val="4BBD33CE"/>
    <w:rsid w:val="4BC75233"/>
    <w:rsid w:val="4C0308B7"/>
    <w:rsid w:val="4C5A7393"/>
    <w:rsid w:val="4C5B7BDE"/>
    <w:rsid w:val="4C8A35A0"/>
    <w:rsid w:val="4CAA6DEC"/>
    <w:rsid w:val="4CBB5870"/>
    <w:rsid w:val="4CE74F4D"/>
    <w:rsid w:val="4D0E12D1"/>
    <w:rsid w:val="4D291727"/>
    <w:rsid w:val="4D2A6786"/>
    <w:rsid w:val="4D3913B2"/>
    <w:rsid w:val="4D4D1254"/>
    <w:rsid w:val="4D681C3A"/>
    <w:rsid w:val="4D976B7C"/>
    <w:rsid w:val="4DAA76F7"/>
    <w:rsid w:val="4DBE1C1A"/>
    <w:rsid w:val="4DEF06D0"/>
    <w:rsid w:val="4DFF0486"/>
    <w:rsid w:val="4DFF3300"/>
    <w:rsid w:val="4E0C0B2F"/>
    <w:rsid w:val="4EC877D1"/>
    <w:rsid w:val="4ECD494D"/>
    <w:rsid w:val="4F1D754B"/>
    <w:rsid w:val="4F203DE0"/>
    <w:rsid w:val="4F72431F"/>
    <w:rsid w:val="4FA90FFB"/>
    <w:rsid w:val="4FBE780A"/>
    <w:rsid w:val="4FF442B8"/>
    <w:rsid w:val="4FF74036"/>
    <w:rsid w:val="5023371B"/>
    <w:rsid w:val="503A7D50"/>
    <w:rsid w:val="50573EE0"/>
    <w:rsid w:val="50687EE1"/>
    <w:rsid w:val="50825ABD"/>
    <w:rsid w:val="50847E24"/>
    <w:rsid w:val="508B2042"/>
    <w:rsid w:val="50A117D4"/>
    <w:rsid w:val="50C40EF8"/>
    <w:rsid w:val="50DC48AF"/>
    <w:rsid w:val="50F1625A"/>
    <w:rsid w:val="5124215A"/>
    <w:rsid w:val="51320B4E"/>
    <w:rsid w:val="517806BF"/>
    <w:rsid w:val="519B7926"/>
    <w:rsid w:val="51B15013"/>
    <w:rsid w:val="51E62428"/>
    <w:rsid w:val="5222697F"/>
    <w:rsid w:val="522E7C7A"/>
    <w:rsid w:val="52626879"/>
    <w:rsid w:val="527375B5"/>
    <w:rsid w:val="52D93B7C"/>
    <w:rsid w:val="52E0721B"/>
    <w:rsid w:val="52E7467F"/>
    <w:rsid w:val="530379C0"/>
    <w:rsid w:val="5318224A"/>
    <w:rsid w:val="53211D72"/>
    <w:rsid w:val="5334399F"/>
    <w:rsid w:val="533A3138"/>
    <w:rsid w:val="537D1372"/>
    <w:rsid w:val="538826A4"/>
    <w:rsid w:val="53D8574B"/>
    <w:rsid w:val="53FF22C9"/>
    <w:rsid w:val="54124691"/>
    <w:rsid w:val="544E4D2A"/>
    <w:rsid w:val="545678FD"/>
    <w:rsid w:val="54A52B04"/>
    <w:rsid w:val="54C36085"/>
    <w:rsid w:val="55061C05"/>
    <w:rsid w:val="550D4C7E"/>
    <w:rsid w:val="55361973"/>
    <w:rsid w:val="55826059"/>
    <w:rsid w:val="55B577AC"/>
    <w:rsid w:val="55B840E3"/>
    <w:rsid w:val="55DB4169"/>
    <w:rsid w:val="56021E2A"/>
    <w:rsid w:val="560A0CCC"/>
    <w:rsid w:val="560A7BA7"/>
    <w:rsid w:val="561E24B4"/>
    <w:rsid w:val="564E6E5D"/>
    <w:rsid w:val="567233E3"/>
    <w:rsid w:val="56813D12"/>
    <w:rsid w:val="56B53825"/>
    <w:rsid w:val="56D53EDE"/>
    <w:rsid w:val="56FE0584"/>
    <w:rsid w:val="573B17CB"/>
    <w:rsid w:val="573D4E87"/>
    <w:rsid w:val="5781514F"/>
    <w:rsid w:val="578D15B1"/>
    <w:rsid w:val="57967605"/>
    <w:rsid w:val="57A25E51"/>
    <w:rsid w:val="57E45843"/>
    <w:rsid w:val="57F77A99"/>
    <w:rsid w:val="58036FF1"/>
    <w:rsid w:val="58165AC0"/>
    <w:rsid w:val="581F31B7"/>
    <w:rsid w:val="585B2F03"/>
    <w:rsid w:val="58803767"/>
    <w:rsid w:val="58807951"/>
    <w:rsid w:val="58D05D56"/>
    <w:rsid w:val="58DF4006"/>
    <w:rsid w:val="591D14AE"/>
    <w:rsid w:val="591F64C4"/>
    <w:rsid w:val="59272B65"/>
    <w:rsid w:val="59284BD5"/>
    <w:rsid w:val="593928F1"/>
    <w:rsid w:val="596E2614"/>
    <w:rsid w:val="59847F15"/>
    <w:rsid w:val="59AD1935"/>
    <w:rsid w:val="59B30F36"/>
    <w:rsid w:val="59DF71F1"/>
    <w:rsid w:val="59E35308"/>
    <w:rsid w:val="5A151319"/>
    <w:rsid w:val="5A7E4921"/>
    <w:rsid w:val="5A8A3DB1"/>
    <w:rsid w:val="5A972372"/>
    <w:rsid w:val="5AA9184E"/>
    <w:rsid w:val="5AD433FA"/>
    <w:rsid w:val="5ADC5520"/>
    <w:rsid w:val="5AE31628"/>
    <w:rsid w:val="5B1B7F7F"/>
    <w:rsid w:val="5B747B40"/>
    <w:rsid w:val="5BA3302A"/>
    <w:rsid w:val="5BC85BF2"/>
    <w:rsid w:val="5BD15CD7"/>
    <w:rsid w:val="5BD62506"/>
    <w:rsid w:val="5C281CBF"/>
    <w:rsid w:val="5C375F97"/>
    <w:rsid w:val="5C3F2313"/>
    <w:rsid w:val="5C7F704A"/>
    <w:rsid w:val="5CD003EE"/>
    <w:rsid w:val="5CDB0255"/>
    <w:rsid w:val="5CED0783"/>
    <w:rsid w:val="5D0040C4"/>
    <w:rsid w:val="5D1B5705"/>
    <w:rsid w:val="5D3868D0"/>
    <w:rsid w:val="5D3D5F84"/>
    <w:rsid w:val="5D464C29"/>
    <w:rsid w:val="5D633B6F"/>
    <w:rsid w:val="5D72396D"/>
    <w:rsid w:val="5D771884"/>
    <w:rsid w:val="5D96394F"/>
    <w:rsid w:val="5DCC1CA1"/>
    <w:rsid w:val="5DF6043F"/>
    <w:rsid w:val="5DFE13F7"/>
    <w:rsid w:val="5E0A56D8"/>
    <w:rsid w:val="5E1E33A9"/>
    <w:rsid w:val="5E230800"/>
    <w:rsid w:val="5E271CE1"/>
    <w:rsid w:val="5E3B3CA9"/>
    <w:rsid w:val="5E53162C"/>
    <w:rsid w:val="5F103D27"/>
    <w:rsid w:val="5F88394B"/>
    <w:rsid w:val="5F8A6E4E"/>
    <w:rsid w:val="5F924DC1"/>
    <w:rsid w:val="5F9714B5"/>
    <w:rsid w:val="5FB9230D"/>
    <w:rsid w:val="5FB95257"/>
    <w:rsid w:val="5FD93159"/>
    <w:rsid w:val="5FE837F5"/>
    <w:rsid w:val="5FF6617D"/>
    <w:rsid w:val="5FF97550"/>
    <w:rsid w:val="5FFE2592"/>
    <w:rsid w:val="604134CD"/>
    <w:rsid w:val="60BC2341"/>
    <w:rsid w:val="60CA6A40"/>
    <w:rsid w:val="60DB75D3"/>
    <w:rsid w:val="618668C8"/>
    <w:rsid w:val="61B13F9A"/>
    <w:rsid w:val="61BC05B0"/>
    <w:rsid w:val="61CE29F6"/>
    <w:rsid w:val="62007B87"/>
    <w:rsid w:val="622F10C2"/>
    <w:rsid w:val="626B4E79"/>
    <w:rsid w:val="627D15E7"/>
    <w:rsid w:val="62851CDD"/>
    <w:rsid w:val="62A71108"/>
    <w:rsid w:val="62B07FBD"/>
    <w:rsid w:val="62B12EE3"/>
    <w:rsid w:val="62C872A0"/>
    <w:rsid w:val="632623AE"/>
    <w:rsid w:val="6334467B"/>
    <w:rsid w:val="634B6A33"/>
    <w:rsid w:val="63537050"/>
    <w:rsid w:val="6366073D"/>
    <w:rsid w:val="637451BA"/>
    <w:rsid w:val="63856835"/>
    <w:rsid w:val="638C7095"/>
    <w:rsid w:val="63952560"/>
    <w:rsid w:val="64062E85"/>
    <w:rsid w:val="640A242D"/>
    <w:rsid w:val="64481CC9"/>
    <w:rsid w:val="648264B3"/>
    <w:rsid w:val="64B74F47"/>
    <w:rsid w:val="64EB5CA0"/>
    <w:rsid w:val="64F91C54"/>
    <w:rsid w:val="65031CD1"/>
    <w:rsid w:val="650352E9"/>
    <w:rsid w:val="65053E1E"/>
    <w:rsid w:val="65054FBD"/>
    <w:rsid w:val="650B73ED"/>
    <w:rsid w:val="6524222D"/>
    <w:rsid w:val="65420171"/>
    <w:rsid w:val="65526949"/>
    <w:rsid w:val="655C1577"/>
    <w:rsid w:val="65C71020"/>
    <w:rsid w:val="65D5075D"/>
    <w:rsid w:val="65F00140"/>
    <w:rsid w:val="65FC49E9"/>
    <w:rsid w:val="66296C0D"/>
    <w:rsid w:val="662A0A38"/>
    <w:rsid w:val="66486107"/>
    <w:rsid w:val="66494234"/>
    <w:rsid w:val="665011DF"/>
    <w:rsid w:val="6684029B"/>
    <w:rsid w:val="669A7F65"/>
    <w:rsid w:val="66B35A7A"/>
    <w:rsid w:val="66D76328"/>
    <w:rsid w:val="66E50D0E"/>
    <w:rsid w:val="66EC2A81"/>
    <w:rsid w:val="67247A5C"/>
    <w:rsid w:val="672B1A53"/>
    <w:rsid w:val="67C30AB2"/>
    <w:rsid w:val="67E2197B"/>
    <w:rsid w:val="680C0D40"/>
    <w:rsid w:val="682F10B1"/>
    <w:rsid w:val="68322950"/>
    <w:rsid w:val="68754930"/>
    <w:rsid w:val="68946DA9"/>
    <w:rsid w:val="68E77426"/>
    <w:rsid w:val="691C697F"/>
    <w:rsid w:val="693A0334"/>
    <w:rsid w:val="69836008"/>
    <w:rsid w:val="69841C93"/>
    <w:rsid w:val="69892653"/>
    <w:rsid w:val="69CC7479"/>
    <w:rsid w:val="69E43C45"/>
    <w:rsid w:val="69F5715D"/>
    <w:rsid w:val="6A270136"/>
    <w:rsid w:val="6A5128E7"/>
    <w:rsid w:val="6A555782"/>
    <w:rsid w:val="6A617017"/>
    <w:rsid w:val="6A62085F"/>
    <w:rsid w:val="6A897109"/>
    <w:rsid w:val="6A9F20FF"/>
    <w:rsid w:val="6ABE4B5F"/>
    <w:rsid w:val="6AC04C83"/>
    <w:rsid w:val="6AEF0C5E"/>
    <w:rsid w:val="6B31046B"/>
    <w:rsid w:val="6B3640BE"/>
    <w:rsid w:val="6B400911"/>
    <w:rsid w:val="6B41632D"/>
    <w:rsid w:val="6BA0669E"/>
    <w:rsid w:val="6BCB6198"/>
    <w:rsid w:val="6C1908AC"/>
    <w:rsid w:val="6C2D5854"/>
    <w:rsid w:val="6C6D2D0D"/>
    <w:rsid w:val="6C7453DE"/>
    <w:rsid w:val="6C855301"/>
    <w:rsid w:val="6CBC13F4"/>
    <w:rsid w:val="6CD25BDE"/>
    <w:rsid w:val="6CD9062D"/>
    <w:rsid w:val="6D016666"/>
    <w:rsid w:val="6D1F041D"/>
    <w:rsid w:val="6D4C79DE"/>
    <w:rsid w:val="6D85355A"/>
    <w:rsid w:val="6D8650A8"/>
    <w:rsid w:val="6DA97C2D"/>
    <w:rsid w:val="6DF767A3"/>
    <w:rsid w:val="6E000787"/>
    <w:rsid w:val="6E091096"/>
    <w:rsid w:val="6E4352D1"/>
    <w:rsid w:val="6E737441"/>
    <w:rsid w:val="6EAE43E5"/>
    <w:rsid w:val="6EBC030F"/>
    <w:rsid w:val="6EE7690C"/>
    <w:rsid w:val="6F2F55F5"/>
    <w:rsid w:val="6F4A64FF"/>
    <w:rsid w:val="6F64004E"/>
    <w:rsid w:val="6F833ED3"/>
    <w:rsid w:val="6FE31E38"/>
    <w:rsid w:val="700B69B6"/>
    <w:rsid w:val="7016717C"/>
    <w:rsid w:val="701F46BD"/>
    <w:rsid w:val="704F6C8A"/>
    <w:rsid w:val="70512CBB"/>
    <w:rsid w:val="70B7737C"/>
    <w:rsid w:val="70D06298"/>
    <w:rsid w:val="70D37054"/>
    <w:rsid w:val="71263532"/>
    <w:rsid w:val="713559D7"/>
    <w:rsid w:val="72085F0E"/>
    <w:rsid w:val="7248108B"/>
    <w:rsid w:val="724A05E8"/>
    <w:rsid w:val="724D54DA"/>
    <w:rsid w:val="72811853"/>
    <w:rsid w:val="72BC0523"/>
    <w:rsid w:val="72D37019"/>
    <w:rsid w:val="738C1DEC"/>
    <w:rsid w:val="73CD5085"/>
    <w:rsid w:val="73FD0B65"/>
    <w:rsid w:val="741065A6"/>
    <w:rsid w:val="74261C2A"/>
    <w:rsid w:val="743E4FDA"/>
    <w:rsid w:val="74454306"/>
    <w:rsid w:val="745119D4"/>
    <w:rsid w:val="745D14B7"/>
    <w:rsid w:val="7465743F"/>
    <w:rsid w:val="74824798"/>
    <w:rsid w:val="74BE1A94"/>
    <w:rsid w:val="7502185A"/>
    <w:rsid w:val="751F5A9C"/>
    <w:rsid w:val="7553092D"/>
    <w:rsid w:val="755B7EA8"/>
    <w:rsid w:val="7595642F"/>
    <w:rsid w:val="75AA4DF1"/>
    <w:rsid w:val="76075D1D"/>
    <w:rsid w:val="763F7F9F"/>
    <w:rsid w:val="76495049"/>
    <w:rsid w:val="7666673C"/>
    <w:rsid w:val="769F52A1"/>
    <w:rsid w:val="76EE55AC"/>
    <w:rsid w:val="76F220C7"/>
    <w:rsid w:val="7703108E"/>
    <w:rsid w:val="772671D2"/>
    <w:rsid w:val="77405661"/>
    <w:rsid w:val="77440E21"/>
    <w:rsid w:val="779F79D2"/>
    <w:rsid w:val="77AE4C12"/>
    <w:rsid w:val="78121F2E"/>
    <w:rsid w:val="78344EE6"/>
    <w:rsid w:val="783A61D4"/>
    <w:rsid w:val="7844255D"/>
    <w:rsid w:val="78444A87"/>
    <w:rsid w:val="784721A0"/>
    <w:rsid w:val="78507A8F"/>
    <w:rsid w:val="7885742D"/>
    <w:rsid w:val="78972FCD"/>
    <w:rsid w:val="78B54A54"/>
    <w:rsid w:val="78D90277"/>
    <w:rsid w:val="78F66B43"/>
    <w:rsid w:val="7907149F"/>
    <w:rsid w:val="792E5ADB"/>
    <w:rsid w:val="793A736F"/>
    <w:rsid w:val="795A6E1D"/>
    <w:rsid w:val="79630533"/>
    <w:rsid w:val="7972680A"/>
    <w:rsid w:val="79B35723"/>
    <w:rsid w:val="7A030083"/>
    <w:rsid w:val="7A435623"/>
    <w:rsid w:val="7A5A4664"/>
    <w:rsid w:val="7A990E28"/>
    <w:rsid w:val="7AD07797"/>
    <w:rsid w:val="7AF00FBF"/>
    <w:rsid w:val="7B0D6371"/>
    <w:rsid w:val="7B425546"/>
    <w:rsid w:val="7B5E2D46"/>
    <w:rsid w:val="7B62387C"/>
    <w:rsid w:val="7B631AB3"/>
    <w:rsid w:val="7B715A61"/>
    <w:rsid w:val="7B7C01F3"/>
    <w:rsid w:val="7B8E0777"/>
    <w:rsid w:val="7B9A1458"/>
    <w:rsid w:val="7BB0072A"/>
    <w:rsid w:val="7BC71E77"/>
    <w:rsid w:val="7BF662EE"/>
    <w:rsid w:val="7BF7021D"/>
    <w:rsid w:val="7C41097D"/>
    <w:rsid w:val="7C536936"/>
    <w:rsid w:val="7C585E3C"/>
    <w:rsid w:val="7C816FEB"/>
    <w:rsid w:val="7CE945FD"/>
    <w:rsid w:val="7CF01E50"/>
    <w:rsid w:val="7D254BDC"/>
    <w:rsid w:val="7D2D083F"/>
    <w:rsid w:val="7D4C4BA9"/>
    <w:rsid w:val="7D703797"/>
    <w:rsid w:val="7D783084"/>
    <w:rsid w:val="7D90280C"/>
    <w:rsid w:val="7DD11077"/>
    <w:rsid w:val="7DF7205D"/>
    <w:rsid w:val="7E3315AF"/>
    <w:rsid w:val="7E597CD7"/>
    <w:rsid w:val="7E5A355A"/>
    <w:rsid w:val="7EA42DD1"/>
    <w:rsid w:val="7EB0558F"/>
    <w:rsid w:val="7EF62377"/>
    <w:rsid w:val="7EF96EB6"/>
    <w:rsid w:val="7EFF54A2"/>
    <w:rsid w:val="7F0A2079"/>
    <w:rsid w:val="7F1B49D7"/>
    <w:rsid w:val="7F3D15CE"/>
    <w:rsid w:val="7F4A43D7"/>
    <w:rsid w:val="7FA6487B"/>
    <w:rsid w:val="7FBA00B3"/>
    <w:rsid w:val="7FDD30DF"/>
    <w:rsid w:val="7FF2400D"/>
    <w:rsid w:val="7FF66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BB685B-5D0E-4D25-92EA-2A09052A3BCF}">
  <ds:schemaRefs/>
</ds:datastoreItem>
</file>